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2FC4" w:rsidRDefault="00A82FC4"/>
    <w:p w:rsidR="00A82FC4" w:rsidRPr="00A81595" w:rsidRDefault="00A82FC4">
      <w:pPr>
        <w:pStyle w:val="Nzev"/>
        <w:rPr>
          <w:b/>
          <w:caps/>
          <w:sz w:val="32"/>
          <w:szCs w:val="32"/>
        </w:rPr>
      </w:pPr>
      <w:r w:rsidRPr="00A81595">
        <w:rPr>
          <w:b/>
          <w:caps/>
          <w:sz w:val="32"/>
          <w:szCs w:val="32"/>
        </w:rPr>
        <w:t>PŘEDPIS</w:t>
      </w:r>
    </w:p>
    <w:p w:rsidR="00A82FC4" w:rsidRPr="00A81595" w:rsidRDefault="00A82FC4">
      <w:pPr>
        <w:pStyle w:val="Nzev"/>
        <w:rPr>
          <w:b/>
          <w:caps/>
          <w:sz w:val="32"/>
          <w:szCs w:val="32"/>
        </w:rPr>
      </w:pPr>
      <w:r w:rsidRPr="00A81595">
        <w:rPr>
          <w:b/>
          <w:caps/>
          <w:sz w:val="32"/>
          <w:szCs w:val="32"/>
        </w:rPr>
        <w:t>rady kraje</w:t>
      </w:r>
      <w:r w:rsidR="00872316">
        <w:rPr>
          <w:b/>
          <w:caps/>
          <w:sz w:val="32"/>
          <w:szCs w:val="32"/>
        </w:rPr>
        <w:t>, HEJTMANA KRAJE A ŘEDITELKY KRAJSKÉHO ÚŘADU</w:t>
      </w:r>
    </w:p>
    <w:p w:rsidR="00A82FC4" w:rsidRPr="00A81595" w:rsidRDefault="00A82FC4">
      <w:pPr>
        <w:pStyle w:val="Nzev"/>
        <w:rPr>
          <w:b/>
          <w:caps/>
          <w:sz w:val="32"/>
        </w:rPr>
      </w:pPr>
    </w:p>
    <w:p w:rsidR="00A82FC4" w:rsidRPr="00A81595" w:rsidRDefault="00A82FC4">
      <w:pPr>
        <w:pStyle w:val="Nzev"/>
        <w:rPr>
          <w:b/>
          <w:bCs/>
          <w:caps/>
          <w:szCs w:val="28"/>
        </w:rPr>
      </w:pPr>
      <w:r w:rsidRPr="00A81595">
        <w:rPr>
          <w:b/>
          <w:bCs/>
          <w:caps/>
          <w:szCs w:val="28"/>
        </w:rPr>
        <w:t xml:space="preserve">č.  </w:t>
      </w:r>
      <w:r w:rsidR="003F1DED">
        <w:rPr>
          <w:b/>
          <w:bCs/>
          <w:caps/>
          <w:szCs w:val="28"/>
        </w:rPr>
        <w:t>PR 01/2022, NH 01/2022, SE 01/2022</w:t>
      </w:r>
    </w:p>
    <w:p w:rsidR="00A82FC4" w:rsidRPr="00A81595" w:rsidRDefault="00BF5A3D">
      <w:pPr>
        <w:jc w:val="center"/>
        <w:rPr>
          <w:b/>
          <w:caps/>
          <w:sz w:val="32"/>
          <w:szCs w:val="32"/>
        </w:rPr>
      </w:pPr>
      <w:r w:rsidRPr="007D78F6">
        <w:rPr>
          <w:b/>
          <w:caps/>
          <w:sz w:val="32"/>
          <w:szCs w:val="32"/>
        </w:rPr>
        <w:t>PRO ŘEŠENÍ případů odpovědnosti za škodu</w:t>
      </w:r>
    </w:p>
    <w:p w:rsidR="00A82FC4" w:rsidRDefault="00A82FC4"/>
    <w:tbl>
      <w:tblPr>
        <w:tblW w:w="9398"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972"/>
        <w:gridCol w:w="3287"/>
        <w:gridCol w:w="3139"/>
      </w:tblGrid>
      <w:tr w:rsidR="00A82FC4" w:rsidRPr="00556851" w:rsidTr="00742E39">
        <w:tblPrEx>
          <w:tblCellMar>
            <w:top w:w="0" w:type="dxa"/>
            <w:bottom w:w="0" w:type="dxa"/>
          </w:tblCellMar>
        </w:tblPrEx>
        <w:trPr>
          <w:trHeight w:val="546"/>
          <w:jc w:val="center"/>
        </w:trPr>
        <w:tc>
          <w:tcPr>
            <w:tcW w:w="2972" w:type="dxa"/>
            <w:tcBorders>
              <w:top w:val="single" w:sz="12" w:space="0" w:color="auto"/>
              <w:bottom w:val="single" w:sz="4" w:space="0" w:color="auto"/>
              <w:right w:val="single" w:sz="6" w:space="0" w:color="auto"/>
            </w:tcBorders>
          </w:tcPr>
          <w:p w:rsidR="00A82FC4" w:rsidRPr="00556851" w:rsidRDefault="00A82FC4">
            <w:pPr>
              <w:jc w:val="both"/>
              <w:rPr>
                <w:b/>
                <w:i/>
                <w:iCs/>
                <w:sz w:val="22"/>
                <w:szCs w:val="22"/>
              </w:rPr>
            </w:pPr>
            <w:r w:rsidRPr="00556851">
              <w:rPr>
                <w:b/>
                <w:i/>
                <w:iCs/>
                <w:sz w:val="22"/>
                <w:szCs w:val="22"/>
              </w:rPr>
              <w:t>Zpracovatel:</w:t>
            </w:r>
          </w:p>
        </w:tc>
        <w:tc>
          <w:tcPr>
            <w:tcW w:w="6426" w:type="dxa"/>
            <w:gridSpan w:val="2"/>
            <w:tcBorders>
              <w:top w:val="single" w:sz="12" w:space="0" w:color="auto"/>
              <w:left w:val="single" w:sz="6" w:space="0" w:color="auto"/>
              <w:bottom w:val="single" w:sz="4" w:space="0" w:color="auto"/>
            </w:tcBorders>
          </w:tcPr>
          <w:p w:rsidR="00A82FC4" w:rsidRPr="00556851" w:rsidRDefault="00BF5A3D" w:rsidP="00BF5A3D">
            <w:pPr>
              <w:pStyle w:val="Nadpis6"/>
              <w:spacing w:before="0" w:after="240"/>
              <w:jc w:val="both"/>
            </w:pPr>
            <w:r w:rsidRPr="00BF5A3D">
              <w:t>Ing. Martina Jánská, vedoucí odboru finančního</w:t>
            </w:r>
          </w:p>
        </w:tc>
      </w:tr>
      <w:tr w:rsidR="00A82FC4" w:rsidTr="00742E39">
        <w:tblPrEx>
          <w:tblCellMar>
            <w:top w:w="0" w:type="dxa"/>
            <w:bottom w:w="0" w:type="dxa"/>
          </w:tblCellMar>
        </w:tblPrEx>
        <w:trPr>
          <w:trHeight w:val="454"/>
          <w:jc w:val="center"/>
        </w:trPr>
        <w:tc>
          <w:tcPr>
            <w:tcW w:w="2972" w:type="dxa"/>
            <w:tcBorders>
              <w:top w:val="single" w:sz="4" w:space="0" w:color="auto"/>
              <w:bottom w:val="single" w:sz="4" w:space="0" w:color="auto"/>
              <w:right w:val="single" w:sz="6" w:space="0" w:color="auto"/>
            </w:tcBorders>
          </w:tcPr>
          <w:p w:rsidR="00A82FC4" w:rsidRDefault="00A82FC4">
            <w:pPr>
              <w:jc w:val="both"/>
              <w:rPr>
                <w:b/>
                <w:i/>
                <w:iCs/>
                <w:sz w:val="22"/>
              </w:rPr>
            </w:pPr>
            <w:r>
              <w:rPr>
                <w:b/>
                <w:i/>
                <w:iCs/>
                <w:sz w:val="22"/>
              </w:rPr>
              <w:t>Rozsah působnosti:</w:t>
            </w:r>
          </w:p>
        </w:tc>
        <w:tc>
          <w:tcPr>
            <w:tcW w:w="6426" w:type="dxa"/>
            <w:gridSpan w:val="2"/>
            <w:tcBorders>
              <w:top w:val="single" w:sz="4" w:space="0" w:color="auto"/>
              <w:left w:val="single" w:sz="6" w:space="0" w:color="auto"/>
              <w:bottom w:val="single" w:sz="4" w:space="0" w:color="auto"/>
            </w:tcBorders>
          </w:tcPr>
          <w:p w:rsidR="00A82FC4" w:rsidRPr="009C5C29" w:rsidRDefault="00A82FC4">
            <w:pPr>
              <w:jc w:val="both"/>
              <w:rPr>
                <w:b/>
                <w:sz w:val="22"/>
                <w:szCs w:val="22"/>
              </w:rPr>
            </w:pPr>
            <w:r w:rsidRPr="009C5C29">
              <w:rPr>
                <w:b/>
                <w:sz w:val="22"/>
                <w:szCs w:val="22"/>
              </w:rPr>
              <w:t>krajský úřad</w:t>
            </w:r>
            <w:r w:rsidR="00B20F78">
              <w:rPr>
                <w:b/>
                <w:sz w:val="22"/>
                <w:szCs w:val="22"/>
              </w:rPr>
              <w:t>, členové zastupitelstva, příspěvkové organizace</w:t>
            </w:r>
          </w:p>
          <w:p w:rsidR="00A82FC4" w:rsidRDefault="00A82FC4">
            <w:pPr>
              <w:jc w:val="both"/>
              <w:rPr>
                <w:b/>
                <w:sz w:val="22"/>
              </w:rPr>
            </w:pPr>
          </w:p>
        </w:tc>
      </w:tr>
      <w:tr w:rsidR="00742E39" w:rsidTr="00742E39">
        <w:tblPrEx>
          <w:tblCellMar>
            <w:top w:w="0" w:type="dxa"/>
            <w:bottom w:w="0" w:type="dxa"/>
          </w:tblCellMar>
        </w:tblPrEx>
        <w:trPr>
          <w:trHeight w:val="454"/>
          <w:jc w:val="center"/>
        </w:trPr>
        <w:tc>
          <w:tcPr>
            <w:tcW w:w="2972" w:type="dxa"/>
            <w:tcBorders>
              <w:top w:val="single" w:sz="12" w:space="0" w:color="auto"/>
              <w:bottom w:val="single" w:sz="4" w:space="0" w:color="auto"/>
              <w:right w:val="single" w:sz="4" w:space="0" w:color="auto"/>
            </w:tcBorders>
          </w:tcPr>
          <w:p w:rsidR="00742E39" w:rsidRDefault="00742E39">
            <w:pPr>
              <w:jc w:val="center"/>
              <w:rPr>
                <w:b/>
                <w:i/>
                <w:iCs/>
                <w:sz w:val="22"/>
              </w:rPr>
            </w:pPr>
            <w:r>
              <w:rPr>
                <w:b/>
                <w:i/>
                <w:iCs/>
                <w:sz w:val="22"/>
              </w:rPr>
              <w:t>Nabývá účinnosti:</w:t>
            </w:r>
          </w:p>
        </w:tc>
        <w:tc>
          <w:tcPr>
            <w:tcW w:w="3287" w:type="dxa"/>
            <w:tcBorders>
              <w:top w:val="single" w:sz="12" w:space="0" w:color="auto"/>
              <w:bottom w:val="single" w:sz="4" w:space="0" w:color="auto"/>
              <w:right w:val="single" w:sz="4" w:space="0" w:color="auto"/>
            </w:tcBorders>
          </w:tcPr>
          <w:p w:rsidR="00742E39" w:rsidRDefault="00742E39">
            <w:pPr>
              <w:jc w:val="center"/>
              <w:rPr>
                <w:b/>
                <w:i/>
                <w:iCs/>
                <w:sz w:val="22"/>
              </w:rPr>
            </w:pPr>
            <w:r>
              <w:rPr>
                <w:b/>
                <w:i/>
                <w:iCs/>
                <w:sz w:val="22"/>
              </w:rPr>
              <w:t>Počet stran:</w:t>
            </w:r>
          </w:p>
        </w:tc>
        <w:tc>
          <w:tcPr>
            <w:tcW w:w="3139" w:type="dxa"/>
            <w:tcBorders>
              <w:top w:val="single" w:sz="12" w:space="0" w:color="auto"/>
              <w:left w:val="single" w:sz="2" w:space="0" w:color="auto"/>
              <w:bottom w:val="single" w:sz="2" w:space="0" w:color="auto"/>
            </w:tcBorders>
          </w:tcPr>
          <w:p w:rsidR="00742E39" w:rsidRDefault="00742E39" w:rsidP="00714169">
            <w:pPr>
              <w:jc w:val="center"/>
              <w:rPr>
                <w:b/>
                <w:i/>
                <w:iCs/>
                <w:sz w:val="22"/>
              </w:rPr>
            </w:pPr>
            <w:r>
              <w:rPr>
                <w:b/>
                <w:i/>
                <w:iCs/>
                <w:sz w:val="22"/>
              </w:rPr>
              <w:t>Počet příloh:</w:t>
            </w:r>
          </w:p>
        </w:tc>
      </w:tr>
      <w:tr w:rsidR="00742E39" w:rsidTr="00742E39">
        <w:tblPrEx>
          <w:tblCellMar>
            <w:top w:w="0" w:type="dxa"/>
            <w:bottom w:w="0" w:type="dxa"/>
          </w:tblCellMar>
        </w:tblPrEx>
        <w:trPr>
          <w:trHeight w:val="454"/>
          <w:jc w:val="center"/>
        </w:trPr>
        <w:tc>
          <w:tcPr>
            <w:tcW w:w="2972" w:type="dxa"/>
            <w:tcBorders>
              <w:top w:val="single" w:sz="4" w:space="0" w:color="auto"/>
              <w:bottom w:val="single" w:sz="18" w:space="0" w:color="auto"/>
              <w:right w:val="single" w:sz="4" w:space="0" w:color="auto"/>
            </w:tcBorders>
          </w:tcPr>
          <w:p w:rsidR="00742E39" w:rsidRDefault="008A3FDB" w:rsidP="008A3FDB">
            <w:pPr>
              <w:jc w:val="center"/>
              <w:rPr>
                <w:b/>
                <w:sz w:val="22"/>
              </w:rPr>
            </w:pPr>
            <w:r w:rsidRPr="008A3FDB">
              <w:rPr>
                <w:b/>
                <w:sz w:val="22"/>
              </w:rPr>
              <w:t>1.</w:t>
            </w:r>
            <w:r>
              <w:rPr>
                <w:b/>
                <w:sz w:val="22"/>
              </w:rPr>
              <w:t xml:space="preserve"> 2. 2022</w:t>
            </w:r>
          </w:p>
        </w:tc>
        <w:tc>
          <w:tcPr>
            <w:tcW w:w="3287" w:type="dxa"/>
            <w:tcBorders>
              <w:top w:val="single" w:sz="4" w:space="0" w:color="auto"/>
              <w:bottom w:val="single" w:sz="18" w:space="0" w:color="auto"/>
              <w:right w:val="single" w:sz="4" w:space="0" w:color="auto"/>
            </w:tcBorders>
          </w:tcPr>
          <w:p w:rsidR="00742E39" w:rsidRDefault="000C4577" w:rsidP="00300B6D">
            <w:pPr>
              <w:jc w:val="center"/>
              <w:rPr>
                <w:b/>
                <w:sz w:val="22"/>
              </w:rPr>
            </w:pPr>
            <w:r>
              <w:rPr>
                <w:b/>
                <w:sz w:val="22"/>
              </w:rPr>
              <w:t>14</w:t>
            </w:r>
          </w:p>
        </w:tc>
        <w:tc>
          <w:tcPr>
            <w:tcW w:w="3139" w:type="dxa"/>
            <w:tcBorders>
              <w:top w:val="single" w:sz="2" w:space="0" w:color="auto"/>
              <w:left w:val="single" w:sz="2" w:space="0" w:color="auto"/>
              <w:bottom w:val="single" w:sz="18" w:space="0" w:color="auto"/>
            </w:tcBorders>
          </w:tcPr>
          <w:p w:rsidR="00742E39" w:rsidRDefault="00711B99">
            <w:pPr>
              <w:jc w:val="center"/>
              <w:rPr>
                <w:b/>
                <w:sz w:val="22"/>
              </w:rPr>
            </w:pPr>
            <w:r>
              <w:rPr>
                <w:b/>
                <w:sz w:val="22"/>
              </w:rPr>
              <w:t>6</w:t>
            </w:r>
          </w:p>
        </w:tc>
      </w:tr>
    </w:tbl>
    <w:p w:rsidR="00A82FC4" w:rsidRDefault="00A82FC4">
      <w:pPr>
        <w:jc w:val="both"/>
        <w:rPr>
          <w:sz w:val="22"/>
        </w:rPr>
      </w:pP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70" w:type="dxa"/>
          <w:right w:w="70" w:type="dxa"/>
        </w:tblCellMar>
        <w:tblLook w:val="0000" w:firstRow="0" w:lastRow="0" w:firstColumn="0" w:lastColumn="0" w:noHBand="0" w:noVBand="0"/>
      </w:tblPr>
      <w:tblGrid>
        <w:gridCol w:w="4723"/>
        <w:gridCol w:w="4637"/>
      </w:tblGrid>
      <w:tr w:rsidR="00A82FC4">
        <w:tblPrEx>
          <w:tblCellMar>
            <w:top w:w="0" w:type="dxa"/>
            <w:bottom w:w="0" w:type="dxa"/>
          </w:tblCellMar>
        </w:tblPrEx>
        <w:trPr>
          <w:cantSplit/>
          <w:trHeight w:val="454"/>
          <w:jc w:val="center"/>
        </w:trPr>
        <w:tc>
          <w:tcPr>
            <w:tcW w:w="4723" w:type="dxa"/>
            <w:tcBorders>
              <w:right w:val="nil"/>
            </w:tcBorders>
          </w:tcPr>
          <w:p w:rsidR="00A82FC4" w:rsidRDefault="00A82FC4">
            <w:pPr>
              <w:jc w:val="both"/>
              <w:rPr>
                <w:b/>
                <w:i/>
                <w:iCs/>
                <w:sz w:val="22"/>
              </w:rPr>
            </w:pPr>
            <w:r>
              <w:rPr>
                <w:b/>
                <w:i/>
                <w:iCs/>
                <w:sz w:val="22"/>
              </w:rPr>
              <w:t>Tímto předpisem se ruší:</w:t>
            </w:r>
          </w:p>
        </w:tc>
        <w:tc>
          <w:tcPr>
            <w:tcW w:w="4637" w:type="dxa"/>
            <w:tcBorders>
              <w:left w:val="nil"/>
            </w:tcBorders>
            <w:vAlign w:val="center"/>
          </w:tcPr>
          <w:p w:rsidR="00A82FC4" w:rsidRPr="007139CE" w:rsidRDefault="00B74943">
            <w:pPr>
              <w:pStyle w:val="Nadpis4"/>
              <w:rPr>
                <w:sz w:val="22"/>
                <w:szCs w:val="22"/>
              </w:rPr>
            </w:pPr>
            <w:r>
              <w:rPr>
                <w:sz w:val="22"/>
                <w:szCs w:val="22"/>
              </w:rPr>
              <w:t>Předpis Rady k</w:t>
            </w:r>
            <w:r w:rsidR="00AB016D">
              <w:rPr>
                <w:sz w:val="22"/>
                <w:szCs w:val="22"/>
              </w:rPr>
              <w:t>raje č. PR 02/2017 Pro řešení případů odpovědnosti za škodu</w:t>
            </w:r>
          </w:p>
        </w:tc>
      </w:tr>
    </w:tbl>
    <w:p w:rsidR="00A82FC4" w:rsidRDefault="00A82FC4">
      <w:pPr>
        <w:jc w:val="both"/>
        <w:rPr>
          <w:sz w:val="22"/>
        </w:rPr>
      </w:pPr>
    </w:p>
    <w:tbl>
      <w:tblPr>
        <w:tblW w:w="9360" w:type="dxa"/>
        <w:jc w:val="center"/>
        <w:tblBorders>
          <w:top w:val="single" w:sz="12" w:space="0" w:color="auto"/>
          <w:left w:val="single" w:sz="12" w:space="0" w:color="auto"/>
          <w:bottom w:val="single" w:sz="12" w:space="0" w:color="auto"/>
          <w:right w:val="single" w:sz="12" w:space="0" w:color="auto"/>
          <w:insideH w:val="single" w:sz="8" w:space="0" w:color="auto"/>
        </w:tblBorders>
        <w:tblLayout w:type="fixed"/>
        <w:tblCellMar>
          <w:left w:w="70" w:type="dxa"/>
          <w:right w:w="70" w:type="dxa"/>
        </w:tblCellMar>
        <w:tblLook w:val="0000" w:firstRow="0" w:lastRow="0" w:firstColumn="0" w:lastColumn="0" w:noHBand="0" w:noVBand="0"/>
      </w:tblPr>
      <w:tblGrid>
        <w:gridCol w:w="4680"/>
        <w:gridCol w:w="4680"/>
      </w:tblGrid>
      <w:tr w:rsidR="00A82FC4">
        <w:tblPrEx>
          <w:tblCellMar>
            <w:top w:w="0" w:type="dxa"/>
            <w:bottom w:w="0" w:type="dxa"/>
          </w:tblCellMar>
        </w:tblPrEx>
        <w:trPr>
          <w:cantSplit/>
          <w:trHeight w:val="454"/>
          <w:jc w:val="center"/>
        </w:trPr>
        <w:tc>
          <w:tcPr>
            <w:tcW w:w="4680" w:type="dxa"/>
          </w:tcPr>
          <w:p w:rsidR="00A82FC4" w:rsidRDefault="00A82FC4">
            <w:pPr>
              <w:rPr>
                <w:b/>
                <w:i/>
                <w:iCs/>
                <w:sz w:val="22"/>
              </w:rPr>
            </w:pPr>
            <w:r>
              <w:rPr>
                <w:b/>
                <w:i/>
                <w:iCs/>
                <w:sz w:val="22"/>
              </w:rPr>
              <w:t>Originál předpisu je uložen:</w:t>
            </w:r>
          </w:p>
        </w:tc>
        <w:tc>
          <w:tcPr>
            <w:tcW w:w="4680" w:type="dxa"/>
            <w:vAlign w:val="center"/>
          </w:tcPr>
          <w:p w:rsidR="00A82FC4" w:rsidRDefault="0037763C">
            <w:pPr>
              <w:rPr>
                <w:b/>
                <w:sz w:val="22"/>
              </w:rPr>
            </w:pPr>
            <w:r w:rsidRPr="0037763C">
              <w:rPr>
                <w:b/>
                <w:sz w:val="22"/>
              </w:rPr>
              <w:t>odbor legislativní a právní a krajský živnostenský úřad</w:t>
            </w:r>
          </w:p>
        </w:tc>
      </w:tr>
      <w:tr w:rsidR="00A82FC4">
        <w:tblPrEx>
          <w:tblCellMar>
            <w:top w:w="0" w:type="dxa"/>
            <w:bottom w:w="0" w:type="dxa"/>
          </w:tblCellMar>
        </w:tblPrEx>
        <w:trPr>
          <w:cantSplit/>
          <w:trHeight w:val="454"/>
          <w:jc w:val="center"/>
        </w:trPr>
        <w:tc>
          <w:tcPr>
            <w:tcW w:w="4680" w:type="dxa"/>
          </w:tcPr>
          <w:p w:rsidR="00A82FC4" w:rsidRDefault="00A82FC4">
            <w:pPr>
              <w:rPr>
                <w:b/>
                <w:i/>
                <w:iCs/>
                <w:sz w:val="22"/>
              </w:rPr>
            </w:pPr>
            <w:r>
              <w:rPr>
                <w:b/>
                <w:i/>
                <w:iCs/>
                <w:sz w:val="22"/>
              </w:rPr>
              <w:t xml:space="preserve">Elektronická podoba předpisu je uložena: </w:t>
            </w:r>
          </w:p>
        </w:tc>
        <w:tc>
          <w:tcPr>
            <w:tcW w:w="4680" w:type="dxa"/>
            <w:vAlign w:val="center"/>
          </w:tcPr>
          <w:p w:rsidR="00A82FC4" w:rsidRDefault="00C36908">
            <w:pPr>
              <w:rPr>
                <w:b/>
                <w:sz w:val="22"/>
              </w:rPr>
            </w:pPr>
            <w:r>
              <w:rPr>
                <w:b/>
                <w:sz w:val="22"/>
                <w:szCs w:val="22"/>
              </w:rPr>
              <w:t>portál úředníka</w:t>
            </w:r>
            <w:r w:rsidRPr="007B59E9">
              <w:rPr>
                <w:b/>
                <w:sz w:val="22"/>
                <w:szCs w:val="22"/>
              </w:rPr>
              <w:t xml:space="preserve"> krajského úřadu</w:t>
            </w:r>
            <w:r w:rsidR="00AD533E">
              <w:rPr>
                <w:b/>
                <w:sz w:val="22"/>
                <w:szCs w:val="22"/>
              </w:rPr>
              <w:t>, ASPI</w:t>
            </w:r>
          </w:p>
        </w:tc>
      </w:tr>
      <w:tr w:rsidR="005A500A">
        <w:tblPrEx>
          <w:tblCellMar>
            <w:top w:w="0" w:type="dxa"/>
            <w:bottom w:w="0" w:type="dxa"/>
          </w:tblCellMar>
        </w:tblPrEx>
        <w:trPr>
          <w:cantSplit/>
          <w:trHeight w:val="454"/>
          <w:jc w:val="center"/>
        </w:trPr>
        <w:tc>
          <w:tcPr>
            <w:tcW w:w="4680" w:type="dxa"/>
          </w:tcPr>
          <w:p w:rsidR="005A500A" w:rsidRPr="00E32D60" w:rsidRDefault="005A500A" w:rsidP="00BF5A3D">
            <w:pPr>
              <w:rPr>
                <w:b/>
                <w:i/>
                <w:iCs/>
                <w:sz w:val="22"/>
                <w:szCs w:val="22"/>
              </w:rPr>
            </w:pPr>
            <w:r w:rsidRPr="00E32D60">
              <w:rPr>
                <w:b/>
                <w:i/>
                <w:iCs/>
                <w:sz w:val="22"/>
                <w:szCs w:val="22"/>
              </w:rPr>
              <w:t>Předpis je zveřejněn na internetových stránkách Karlovarského kraje</w:t>
            </w:r>
          </w:p>
        </w:tc>
        <w:tc>
          <w:tcPr>
            <w:tcW w:w="4680" w:type="dxa"/>
            <w:vAlign w:val="center"/>
          </w:tcPr>
          <w:p w:rsidR="005A500A" w:rsidRDefault="005A500A">
            <w:pPr>
              <w:rPr>
                <w:b/>
                <w:sz w:val="22"/>
              </w:rPr>
            </w:pPr>
          </w:p>
        </w:tc>
      </w:tr>
    </w:tbl>
    <w:p w:rsidR="00A82FC4" w:rsidRDefault="00A82FC4">
      <w:pPr>
        <w:jc w:val="both"/>
        <w:rPr>
          <w:sz w:val="22"/>
        </w:rPr>
      </w:pPr>
    </w:p>
    <w:tbl>
      <w:tblPr>
        <w:tblW w:w="936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674"/>
        <w:gridCol w:w="4686"/>
      </w:tblGrid>
      <w:tr w:rsidR="00A82FC4">
        <w:tblPrEx>
          <w:tblCellMar>
            <w:top w:w="0" w:type="dxa"/>
            <w:bottom w:w="0" w:type="dxa"/>
          </w:tblCellMar>
        </w:tblPrEx>
        <w:trPr>
          <w:cantSplit/>
          <w:trHeight w:val="454"/>
          <w:jc w:val="center"/>
        </w:trPr>
        <w:tc>
          <w:tcPr>
            <w:tcW w:w="4674" w:type="dxa"/>
            <w:tcBorders>
              <w:top w:val="single" w:sz="12" w:space="0" w:color="auto"/>
              <w:bottom w:val="nil"/>
              <w:right w:val="single" w:sz="4" w:space="0" w:color="auto"/>
            </w:tcBorders>
          </w:tcPr>
          <w:p w:rsidR="00A82FC4" w:rsidRDefault="00A82FC4">
            <w:pPr>
              <w:rPr>
                <w:b/>
                <w:i/>
                <w:iCs/>
                <w:sz w:val="22"/>
              </w:rPr>
            </w:pPr>
            <w:r>
              <w:rPr>
                <w:b/>
                <w:i/>
                <w:iCs/>
                <w:sz w:val="22"/>
              </w:rPr>
              <w:t xml:space="preserve">Za </w:t>
            </w:r>
            <w:r w:rsidR="001A55F0">
              <w:rPr>
                <w:b/>
                <w:i/>
                <w:iCs/>
                <w:sz w:val="22"/>
              </w:rPr>
              <w:t>o</w:t>
            </w:r>
            <w:r w:rsidR="001A55F0" w:rsidRPr="008D1F44">
              <w:rPr>
                <w:b/>
                <w:i/>
                <w:iCs/>
                <w:sz w:val="22"/>
              </w:rPr>
              <w:t xml:space="preserve">dbor </w:t>
            </w:r>
            <w:r w:rsidR="00B5542D">
              <w:rPr>
                <w:b/>
                <w:i/>
                <w:iCs/>
                <w:sz w:val="22"/>
              </w:rPr>
              <w:t>legislativní a právní</w:t>
            </w:r>
            <w:r w:rsidR="001A55F0" w:rsidRPr="008D1F44">
              <w:rPr>
                <w:b/>
                <w:i/>
                <w:iCs/>
                <w:sz w:val="22"/>
              </w:rPr>
              <w:t xml:space="preserve"> a krajský živnostenský úřad</w:t>
            </w:r>
            <w:r w:rsidR="001A55F0">
              <w:rPr>
                <w:b/>
                <w:i/>
                <w:iCs/>
                <w:sz w:val="22"/>
              </w:rPr>
              <w:t xml:space="preserve"> </w:t>
            </w:r>
            <w:r>
              <w:rPr>
                <w:b/>
                <w:i/>
                <w:iCs/>
                <w:sz w:val="22"/>
              </w:rPr>
              <w:t>schválil:</w:t>
            </w:r>
          </w:p>
          <w:p w:rsidR="00A82FC4" w:rsidRDefault="00A82FC4">
            <w:pPr>
              <w:rPr>
                <w:b/>
                <w:i/>
                <w:iCs/>
                <w:sz w:val="22"/>
              </w:rPr>
            </w:pPr>
          </w:p>
        </w:tc>
        <w:tc>
          <w:tcPr>
            <w:tcW w:w="4686" w:type="dxa"/>
            <w:tcBorders>
              <w:top w:val="single" w:sz="12" w:space="0" w:color="auto"/>
              <w:left w:val="single" w:sz="4" w:space="0" w:color="auto"/>
              <w:bottom w:val="nil"/>
            </w:tcBorders>
          </w:tcPr>
          <w:p w:rsidR="00A82FC4" w:rsidRDefault="00A82FC4">
            <w:pPr>
              <w:rPr>
                <w:sz w:val="22"/>
              </w:rPr>
            </w:pPr>
          </w:p>
        </w:tc>
      </w:tr>
      <w:tr w:rsidR="00A82FC4" w:rsidTr="00896257">
        <w:tblPrEx>
          <w:tblCellMar>
            <w:top w:w="0" w:type="dxa"/>
            <w:bottom w:w="0" w:type="dxa"/>
          </w:tblCellMar>
        </w:tblPrEx>
        <w:trPr>
          <w:cantSplit/>
          <w:trHeight w:hRule="exact" w:val="756"/>
          <w:jc w:val="center"/>
        </w:trPr>
        <w:tc>
          <w:tcPr>
            <w:tcW w:w="4674" w:type="dxa"/>
            <w:tcBorders>
              <w:top w:val="nil"/>
              <w:bottom w:val="single" w:sz="4" w:space="0" w:color="auto"/>
              <w:right w:val="single" w:sz="4" w:space="0" w:color="auto"/>
            </w:tcBorders>
          </w:tcPr>
          <w:p w:rsidR="00A82FC4" w:rsidRDefault="00A82FC4">
            <w:pPr>
              <w:rPr>
                <w:b/>
                <w:bCs/>
                <w:sz w:val="22"/>
              </w:rPr>
            </w:pPr>
          </w:p>
        </w:tc>
        <w:tc>
          <w:tcPr>
            <w:tcW w:w="4686" w:type="dxa"/>
            <w:tcBorders>
              <w:top w:val="nil"/>
              <w:left w:val="single" w:sz="4" w:space="0" w:color="auto"/>
              <w:bottom w:val="single" w:sz="4" w:space="0" w:color="auto"/>
            </w:tcBorders>
            <w:vAlign w:val="center"/>
          </w:tcPr>
          <w:p w:rsidR="00B3418B" w:rsidRDefault="00B3418B" w:rsidP="00B3418B">
            <w:pPr>
              <w:rPr>
                <w:b/>
                <w:bCs/>
                <w:sz w:val="22"/>
              </w:rPr>
            </w:pPr>
            <w:r>
              <w:rPr>
                <w:b/>
                <w:bCs/>
                <w:sz w:val="22"/>
              </w:rPr>
              <w:t xml:space="preserve">PhDr. Mgr. Vratislav Smoleja, </w:t>
            </w:r>
          </w:p>
          <w:p w:rsidR="00A82FC4" w:rsidRDefault="00B3418B" w:rsidP="00B3418B">
            <w:pPr>
              <w:rPr>
                <w:sz w:val="22"/>
              </w:rPr>
            </w:pPr>
            <w:r>
              <w:rPr>
                <w:b/>
                <w:bCs/>
                <w:sz w:val="22"/>
              </w:rPr>
              <w:t>vedoucí odboru legislativního a právního a krajského živnostenského úřadu</w:t>
            </w:r>
          </w:p>
        </w:tc>
      </w:tr>
      <w:tr w:rsidR="00A82FC4" w:rsidTr="00896257">
        <w:tblPrEx>
          <w:tblCellMar>
            <w:top w:w="0" w:type="dxa"/>
            <w:bottom w:w="0" w:type="dxa"/>
          </w:tblCellMar>
        </w:tblPrEx>
        <w:trPr>
          <w:cantSplit/>
          <w:trHeight w:val="1425"/>
          <w:jc w:val="center"/>
        </w:trPr>
        <w:tc>
          <w:tcPr>
            <w:tcW w:w="4674" w:type="dxa"/>
            <w:tcBorders>
              <w:top w:val="single" w:sz="4" w:space="0" w:color="auto"/>
              <w:bottom w:val="single" w:sz="4" w:space="0" w:color="auto"/>
              <w:right w:val="single" w:sz="4" w:space="0" w:color="auto"/>
            </w:tcBorders>
          </w:tcPr>
          <w:p w:rsidR="00A82FC4" w:rsidRDefault="00A82FC4" w:rsidP="006E573B">
            <w:pPr>
              <w:rPr>
                <w:b/>
                <w:bCs/>
                <w:i/>
                <w:iCs/>
                <w:sz w:val="22"/>
              </w:rPr>
            </w:pPr>
            <w:r>
              <w:rPr>
                <w:b/>
                <w:bCs/>
                <w:i/>
                <w:iCs/>
                <w:sz w:val="22"/>
              </w:rPr>
              <w:t>Rada kraje schválila usnesením č. RK</w:t>
            </w:r>
            <w:r w:rsidR="00BF5A3D">
              <w:rPr>
                <w:b/>
                <w:bCs/>
                <w:i/>
                <w:iCs/>
                <w:sz w:val="22"/>
              </w:rPr>
              <w:t xml:space="preserve"> </w:t>
            </w:r>
            <w:r w:rsidR="008A3FDB">
              <w:rPr>
                <w:b/>
                <w:bCs/>
                <w:i/>
                <w:iCs/>
                <w:sz w:val="22"/>
              </w:rPr>
              <w:t>1395/12/21 ze dne 20. 12. 2021</w:t>
            </w:r>
          </w:p>
          <w:p w:rsidR="00872316" w:rsidRDefault="00872316" w:rsidP="006E573B">
            <w:pPr>
              <w:rPr>
                <w:b/>
                <w:bCs/>
                <w:i/>
                <w:iCs/>
                <w:sz w:val="22"/>
              </w:rPr>
            </w:pPr>
            <w:r>
              <w:rPr>
                <w:b/>
                <w:bCs/>
                <w:i/>
                <w:iCs/>
                <w:sz w:val="22"/>
              </w:rPr>
              <w:t xml:space="preserve">Hejtman </w:t>
            </w:r>
            <w:r w:rsidR="00383609">
              <w:rPr>
                <w:b/>
                <w:bCs/>
                <w:i/>
                <w:iCs/>
                <w:sz w:val="22"/>
              </w:rPr>
              <w:t xml:space="preserve">Karlovarského </w:t>
            </w:r>
            <w:r>
              <w:rPr>
                <w:b/>
                <w:bCs/>
                <w:i/>
                <w:iCs/>
                <w:sz w:val="22"/>
              </w:rPr>
              <w:t>kraje schválil dne</w:t>
            </w:r>
            <w:r w:rsidR="00896257">
              <w:rPr>
                <w:b/>
                <w:bCs/>
                <w:i/>
                <w:iCs/>
                <w:sz w:val="22"/>
              </w:rPr>
              <w:t xml:space="preserve"> 20. 1. 2022</w:t>
            </w:r>
          </w:p>
          <w:p w:rsidR="00872316" w:rsidRDefault="00872316" w:rsidP="006E573B">
            <w:pPr>
              <w:rPr>
                <w:b/>
                <w:bCs/>
                <w:i/>
                <w:iCs/>
                <w:sz w:val="22"/>
              </w:rPr>
            </w:pPr>
          </w:p>
        </w:tc>
        <w:tc>
          <w:tcPr>
            <w:tcW w:w="4686" w:type="dxa"/>
            <w:tcBorders>
              <w:top w:val="single" w:sz="4" w:space="0" w:color="auto"/>
              <w:left w:val="single" w:sz="4" w:space="0" w:color="auto"/>
              <w:bottom w:val="single" w:sz="4" w:space="0" w:color="auto"/>
            </w:tcBorders>
            <w:vAlign w:val="bottom"/>
          </w:tcPr>
          <w:p w:rsidR="00896257" w:rsidRPr="00896257" w:rsidRDefault="00896257" w:rsidP="00896257">
            <w:pPr>
              <w:pStyle w:val="Nadpis5"/>
              <w:spacing w:before="0" w:after="0"/>
              <w:rPr>
                <w:b w:val="0"/>
                <w:i w:val="0"/>
                <w:sz w:val="22"/>
                <w:szCs w:val="22"/>
              </w:rPr>
            </w:pPr>
          </w:p>
          <w:p w:rsidR="00896257" w:rsidRPr="00896257" w:rsidRDefault="00896257" w:rsidP="00896257">
            <w:pPr>
              <w:pStyle w:val="Nadpis5"/>
              <w:spacing w:before="0" w:after="0"/>
              <w:rPr>
                <w:b w:val="0"/>
                <w:i w:val="0"/>
                <w:sz w:val="22"/>
                <w:szCs w:val="22"/>
              </w:rPr>
            </w:pPr>
          </w:p>
          <w:p w:rsidR="00896257" w:rsidRPr="00717078" w:rsidRDefault="00896257" w:rsidP="00896257">
            <w:pPr>
              <w:pStyle w:val="Nadpis5"/>
              <w:spacing w:before="0" w:after="0"/>
              <w:rPr>
                <w:i w:val="0"/>
                <w:sz w:val="22"/>
                <w:szCs w:val="22"/>
              </w:rPr>
            </w:pPr>
            <w:r w:rsidRPr="00717078">
              <w:rPr>
                <w:i w:val="0"/>
                <w:sz w:val="22"/>
                <w:szCs w:val="22"/>
              </w:rPr>
              <w:t>Ing. Petr Kulhánek,</w:t>
            </w:r>
          </w:p>
          <w:p w:rsidR="00896257" w:rsidRDefault="00896257" w:rsidP="00896257">
            <w:pPr>
              <w:pStyle w:val="Nadpis5"/>
              <w:spacing w:before="0" w:after="0"/>
              <w:rPr>
                <w:i w:val="0"/>
                <w:sz w:val="22"/>
                <w:szCs w:val="22"/>
              </w:rPr>
            </w:pPr>
            <w:r w:rsidRPr="00717078">
              <w:rPr>
                <w:i w:val="0"/>
                <w:sz w:val="22"/>
                <w:szCs w:val="22"/>
              </w:rPr>
              <w:t>hejtman Karlovarského kraje</w:t>
            </w:r>
          </w:p>
          <w:p w:rsidR="00A82FC4" w:rsidRPr="005B6E0A" w:rsidRDefault="00A82FC4" w:rsidP="00896257">
            <w:pPr>
              <w:rPr>
                <w:b/>
                <w:sz w:val="22"/>
              </w:rPr>
            </w:pPr>
          </w:p>
        </w:tc>
      </w:tr>
      <w:tr w:rsidR="00A82FC4" w:rsidTr="00896257">
        <w:tblPrEx>
          <w:tblCellMar>
            <w:top w:w="0" w:type="dxa"/>
            <w:bottom w:w="0" w:type="dxa"/>
          </w:tblCellMar>
        </w:tblPrEx>
        <w:trPr>
          <w:cantSplit/>
          <w:trHeight w:val="1384"/>
          <w:jc w:val="center"/>
        </w:trPr>
        <w:tc>
          <w:tcPr>
            <w:tcW w:w="4674" w:type="dxa"/>
            <w:tcBorders>
              <w:top w:val="single" w:sz="4" w:space="0" w:color="auto"/>
              <w:bottom w:val="single" w:sz="12" w:space="0" w:color="auto"/>
              <w:right w:val="single" w:sz="4" w:space="0" w:color="auto"/>
            </w:tcBorders>
          </w:tcPr>
          <w:p w:rsidR="00A82FC4" w:rsidRDefault="00896257" w:rsidP="00896257">
            <w:pPr>
              <w:rPr>
                <w:b/>
                <w:bCs/>
                <w:sz w:val="22"/>
              </w:rPr>
            </w:pPr>
            <w:r>
              <w:rPr>
                <w:b/>
                <w:bCs/>
                <w:i/>
                <w:iCs/>
                <w:sz w:val="22"/>
              </w:rPr>
              <w:t>Ředitelka krajského úřadu schválila dne 20. 1. 2022</w:t>
            </w:r>
          </w:p>
        </w:tc>
        <w:tc>
          <w:tcPr>
            <w:tcW w:w="4686" w:type="dxa"/>
            <w:tcBorders>
              <w:top w:val="single" w:sz="4" w:space="0" w:color="auto"/>
              <w:left w:val="single" w:sz="4" w:space="0" w:color="auto"/>
              <w:bottom w:val="single" w:sz="12" w:space="0" w:color="auto"/>
            </w:tcBorders>
            <w:vAlign w:val="center"/>
          </w:tcPr>
          <w:p w:rsidR="008A3FDB" w:rsidRDefault="008A3FDB" w:rsidP="008A3FDB"/>
          <w:p w:rsidR="00896257" w:rsidRPr="008A3FDB" w:rsidRDefault="00896257" w:rsidP="008A3FDB"/>
          <w:p w:rsidR="008A3FDB" w:rsidRPr="008A3FDB" w:rsidRDefault="008A3FDB" w:rsidP="008A3FDB">
            <w:pPr>
              <w:pStyle w:val="Nadpis5"/>
              <w:spacing w:before="0" w:after="0"/>
              <w:rPr>
                <w:i w:val="0"/>
                <w:sz w:val="22"/>
                <w:szCs w:val="22"/>
              </w:rPr>
            </w:pPr>
            <w:r w:rsidRPr="008A3FDB">
              <w:rPr>
                <w:i w:val="0"/>
                <w:sz w:val="22"/>
                <w:szCs w:val="22"/>
              </w:rPr>
              <w:t>Mgr. Martina Vránová,</w:t>
            </w:r>
          </w:p>
          <w:p w:rsidR="008A3FDB" w:rsidRPr="008A3FDB" w:rsidRDefault="008A3FDB" w:rsidP="008A3FDB">
            <w:pPr>
              <w:pStyle w:val="Nadpis5"/>
              <w:spacing w:before="0" w:after="0"/>
            </w:pPr>
            <w:r w:rsidRPr="008A3FDB">
              <w:rPr>
                <w:i w:val="0"/>
                <w:sz w:val="22"/>
                <w:szCs w:val="22"/>
              </w:rPr>
              <w:t>ředitelka krajského úřadu</w:t>
            </w:r>
          </w:p>
        </w:tc>
      </w:tr>
    </w:tbl>
    <w:p w:rsidR="00A82FC4" w:rsidRDefault="00A82FC4">
      <w:pPr>
        <w:jc w:val="both"/>
        <w:rPr>
          <w:sz w:val="22"/>
        </w:rPr>
      </w:pPr>
    </w:p>
    <w:tbl>
      <w:tblPr>
        <w:tblW w:w="9360" w:type="dxa"/>
        <w:jc w:val="center"/>
        <w:tblBorders>
          <w:top w:val="single" w:sz="18"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697"/>
        <w:gridCol w:w="4663"/>
      </w:tblGrid>
      <w:tr w:rsidR="00A82FC4">
        <w:tblPrEx>
          <w:tblCellMar>
            <w:top w:w="0" w:type="dxa"/>
            <w:bottom w:w="0" w:type="dxa"/>
          </w:tblCellMar>
        </w:tblPrEx>
        <w:trPr>
          <w:cantSplit/>
          <w:trHeight w:val="540"/>
          <w:jc w:val="center"/>
        </w:trPr>
        <w:tc>
          <w:tcPr>
            <w:tcW w:w="4697" w:type="dxa"/>
            <w:tcBorders>
              <w:top w:val="single" w:sz="12" w:space="0" w:color="auto"/>
              <w:bottom w:val="single" w:sz="12" w:space="0" w:color="auto"/>
              <w:right w:val="nil"/>
            </w:tcBorders>
          </w:tcPr>
          <w:p w:rsidR="00A82FC4" w:rsidRDefault="00A82FC4" w:rsidP="00B5542D">
            <w:pPr>
              <w:rPr>
                <w:b/>
                <w:i/>
                <w:iCs/>
                <w:sz w:val="22"/>
              </w:rPr>
            </w:pPr>
            <w:r>
              <w:rPr>
                <w:b/>
                <w:i/>
                <w:iCs/>
                <w:sz w:val="22"/>
              </w:rPr>
              <w:t>Obdrží</w:t>
            </w:r>
            <w:r w:rsidR="00B5542D">
              <w:rPr>
                <w:b/>
                <w:i/>
                <w:iCs/>
                <w:sz w:val="22"/>
              </w:rPr>
              <w:t xml:space="preserve"> elektronicky</w:t>
            </w:r>
            <w:r>
              <w:rPr>
                <w:b/>
                <w:i/>
                <w:iCs/>
                <w:sz w:val="22"/>
              </w:rPr>
              <w:t>:</w:t>
            </w:r>
          </w:p>
        </w:tc>
        <w:tc>
          <w:tcPr>
            <w:tcW w:w="4663" w:type="dxa"/>
            <w:tcBorders>
              <w:top w:val="single" w:sz="12" w:space="0" w:color="auto"/>
              <w:left w:val="nil"/>
              <w:bottom w:val="single" w:sz="12" w:space="0" w:color="auto"/>
            </w:tcBorders>
            <w:vAlign w:val="center"/>
          </w:tcPr>
          <w:p w:rsidR="00A82FC4" w:rsidRDefault="00A82FC4">
            <w:pPr>
              <w:rPr>
                <w:b/>
                <w:sz w:val="22"/>
              </w:rPr>
            </w:pPr>
            <w:r>
              <w:rPr>
                <w:b/>
                <w:sz w:val="22"/>
              </w:rPr>
              <w:t xml:space="preserve">všichni vedoucí odborů krajského úřadu </w:t>
            </w:r>
          </w:p>
        </w:tc>
      </w:tr>
    </w:tbl>
    <w:p w:rsidR="00A82FC4" w:rsidRPr="006D068E" w:rsidRDefault="00A82FC4">
      <w:pPr>
        <w:pStyle w:val="Nzev"/>
        <w:spacing w:before="120" w:after="120"/>
        <w:rPr>
          <w:b/>
          <w:caps/>
          <w:sz w:val="12"/>
        </w:rPr>
      </w:pPr>
    </w:p>
    <w:p w:rsidR="00C2007D" w:rsidRPr="002414DE" w:rsidRDefault="00C2007D" w:rsidP="002414DE">
      <w:pPr>
        <w:pStyle w:val="Nadpisobsahu"/>
        <w:jc w:val="center"/>
        <w:rPr>
          <w:rFonts w:ascii="Times New Roman" w:hAnsi="Times New Roman"/>
          <w:b/>
          <w:color w:val="auto"/>
        </w:rPr>
      </w:pPr>
      <w:r w:rsidRPr="002414DE">
        <w:rPr>
          <w:rFonts w:ascii="Times New Roman" w:hAnsi="Times New Roman"/>
          <w:b/>
          <w:color w:val="auto"/>
        </w:rPr>
        <w:lastRenderedPageBreak/>
        <w:t>Obsah</w:t>
      </w:r>
    </w:p>
    <w:p w:rsidR="00B74943" w:rsidRPr="00207806" w:rsidRDefault="00C2007D">
      <w:pPr>
        <w:pStyle w:val="Obsah1"/>
        <w:rPr>
          <w:rFonts w:ascii="Calibri" w:hAnsi="Calibri"/>
          <w:b w:val="0"/>
          <w:bCs w:val="0"/>
          <w:lang w:eastAsia="cs-CZ"/>
        </w:rPr>
      </w:pPr>
      <w:r>
        <w:fldChar w:fldCharType="begin"/>
      </w:r>
      <w:r>
        <w:instrText xml:space="preserve"> TOC \o "1-3" \h \z \u </w:instrText>
      </w:r>
      <w:r>
        <w:fldChar w:fldCharType="separate"/>
      </w:r>
      <w:hyperlink w:anchor="_Toc89843547" w:history="1">
        <w:r w:rsidR="00B74943" w:rsidRPr="007B2410">
          <w:rPr>
            <w:rStyle w:val="Hypertextovodkaz"/>
            <w:i/>
          </w:rPr>
          <w:t>Část první</w:t>
        </w:r>
        <w:r w:rsidR="00B74943">
          <w:rPr>
            <w:webHidden/>
          </w:rPr>
          <w:tab/>
        </w:r>
        <w:r w:rsidR="00B74943">
          <w:rPr>
            <w:webHidden/>
          </w:rPr>
          <w:fldChar w:fldCharType="begin"/>
        </w:r>
        <w:r w:rsidR="00B74943">
          <w:rPr>
            <w:webHidden/>
          </w:rPr>
          <w:instrText xml:space="preserve"> PAGEREF _Toc89843547 \h </w:instrText>
        </w:r>
        <w:r w:rsidR="00B74943">
          <w:rPr>
            <w:webHidden/>
          </w:rPr>
        </w:r>
        <w:r w:rsidR="00B74943">
          <w:rPr>
            <w:webHidden/>
          </w:rPr>
          <w:fldChar w:fldCharType="separate"/>
        </w:r>
        <w:r w:rsidR="00F05C32">
          <w:rPr>
            <w:webHidden/>
          </w:rPr>
          <w:t>3</w:t>
        </w:r>
        <w:r w:rsidR="00B74943">
          <w:rPr>
            <w:webHidden/>
          </w:rPr>
          <w:fldChar w:fldCharType="end"/>
        </w:r>
      </w:hyperlink>
    </w:p>
    <w:p w:rsidR="00B74943" w:rsidRPr="00207806" w:rsidRDefault="00B74943">
      <w:pPr>
        <w:pStyle w:val="Obsah1"/>
        <w:rPr>
          <w:rFonts w:ascii="Calibri" w:hAnsi="Calibri"/>
          <w:b w:val="0"/>
          <w:bCs w:val="0"/>
          <w:lang w:eastAsia="cs-CZ"/>
        </w:rPr>
      </w:pPr>
      <w:hyperlink w:anchor="_Toc89843548" w:history="1">
        <w:r w:rsidRPr="007B2410">
          <w:rPr>
            <w:rStyle w:val="Hypertextovodkaz"/>
          </w:rPr>
          <w:t>ÚVODNÍ USTANOVENÍ</w:t>
        </w:r>
        <w:r>
          <w:rPr>
            <w:webHidden/>
          </w:rPr>
          <w:tab/>
        </w:r>
        <w:r>
          <w:rPr>
            <w:webHidden/>
          </w:rPr>
          <w:fldChar w:fldCharType="begin"/>
        </w:r>
        <w:r>
          <w:rPr>
            <w:webHidden/>
          </w:rPr>
          <w:instrText xml:space="preserve"> PAGEREF _Toc89843548 \h </w:instrText>
        </w:r>
        <w:r>
          <w:rPr>
            <w:webHidden/>
          </w:rPr>
        </w:r>
        <w:r>
          <w:rPr>
            <w:webHidden/>
          </w:rPr>
          <w:fldChar w:fldCharType="separate"/>
        </w:r>
        <w:r w:rsidR="00F05C32">
          <w:rPr>
            <w:webHidden/>
          </w:rPr>
          <w:t>3</w:t>
        </w:r>
        <w:r>
          <w:rPr>
            <w:webHidden/>
          </w:rPr>
          <w:fldChar w:fldCharType="end"/>
        </w:r>
      </w:hyperlink>
    </w:p>
    <w:p w:rsidR="00B74943" w:rsidRPr="00207806" w:rsidRDefault="00B74943" w:rsidP="00B74943">
      <w:pPr>
        <w:pStyle w:val="Obsah3"/>
        <w:rPr>
          <w:rFonts w:ascii="Calibri" w:hAnsi="Calibri"/>
          <w:sz w:val="22"/>
          <w:szCs w:val="22"/>
        </w:rPr>
      </w:pPr>
      <w:hyperlink w:anchor="_Toc89843549" w:history="1">
        <w:r w:rsidRPr="007B2410">
          <w:rPr>
            <w:rStyle w:val="Hypertextovodkaz"/>
            <w:b/>
          </w:rPr>
          <w:t>Čl. I.  Účel úpravy</w:t>
        </w:r>
        <w:r>
          <w:rPr>
            <w:webHidden/>
          </w:rPr>
          <w:tab/>
        </w:r>
        <w:r>
          <w:rPr>
            <w:webHidden/>
          </w:rPr>
          <w:fldChar w:fldCharType="begin"/>
        </w:r>
        <w:r>
          <w:rPr>
            <w:webHidden/>
          </w:rPr>
          <w:instrText xml:space="preserve"> PAGEREF _Toc89843549 \h </w:instrText>
        </w:r>
        <w:r>
          <w:rPr>
            <w:webHidden/>
          </w:rPr>
        </w:r>
        <w:r>
          <w:rPr>
            <w:webHidden/>
          </w:rPr>
          <w:fldChar w:fldCharType="separate"/>
        </w:r>
        <w:r w:rsidR="00F05C32">
          <w:rPr>
            <w:webHidden/>
          </w:rPr>
          <w:t>3</w:t>
        </w:r>
        <w:r>
          <w:rPr>
            <w:webHidden/>
          </w:rPr>
          <w:fldChar w:fldCharType="end"/>
        </w:r>
      </w:hyperlink>
    </w:p>
    <w:p w:rsidR="00B74943" w:rsidRPr="00207806" w:rsidRDefault="00B74943" w:rsidP="00B74943">
      <w:pPr>
        <w:pStyle w:val="Obsah3"/>
        <w:rPr>
          <w:rFonts w:ascii="Calibri" w:hAnsi="Calibri"/>
          <w:sz w:val="22"/>
          <w:szCs w:val="22"/>
        </w:rPr>
      </w:pPr>
      <w:hyperlink w:anchor="_Toc89843550" w:history="1">
        <w:r w:rsidRPr="007B2410">
          <w:rPr>
            <w:rStyle w:val="Hypertextovodkaz"/>
            <w:b/>
          </w:rPr>
          <w:t xml:space="preserve">Čl. II. </w:t>
        </w:r>
        <w:r w:rsidRPr="007B2410">
          <w:rPr>
            <w:rStyle w:val="Hypertextovodkaz"/>
            <w:b/>
            <w:bCs/>
          </w:rPr>
          <w:t>Výklad některých pojmů</w:t>
        </w:r>
        <w:r>
          <w:rPr>
            <w:webHidden/>
          </w:rPr>
          <w:tab/>
        </w:r>
        <w:r>
          <w:rPr>
            <w:webHidden/>
          </w:rPr>
          <w:fldChar w:fldCharType="begin"/>
        </w:r>
        <w:r>
          <w:rPr>
            <w:webHidden/>
          </w:rPr>
          <w:instrText xml:space="preserve"> PAGEREF _Toc89843550 \h </w:instrText>
        </w:r>
        <w:r>
          <w:rPr>
            <w:webHidden/>
          </w:rPr>
        </w:r>
        <w:r>
          <w:rPr>
            <w:webHidden/>
          </w:rPr>
          <w:fldChar w:fldCharType="separate"/>
        </w:r>
        <w:r w:rsidR="00F05C32">
          <w:rPr>
            <w:webHidden/>
          </w:rPr>
          <w:t>3</w:t>
        </w:r>
        <w:r>
          <w:rPr>
            <w:webHidden/>
          </w:rPr>
          <w:fldChar w:fldCharType="end"/>
        </w:r>
      </w:hyperlink>
    </w:p>
    <w:p w:rsidR="00B74943" w:rsidRPr="00207806" w:rsidRDefault="00B74943">
      <w:pPr>
        <w:pStyle w:val="Obsah1"/>
        <w:rPr>
          <w:rFonts w:ascii="Calibri" w:hAnsi="Calibri"/>
          <w:b w:val="0"/>
          <w:bCs w:val="0"/>
          <w:lang w:eastAsia="cs-CZ"/>
        </w:rPr>
      </w:pPr>
      <w:hyperlink w:anchor="_Toc89843551" w:history="1">
        <w:r w:rsidRPr="007B2410">
          <w:rPr>
            <w:rStyle w:val="Hypertextovodkaz"/>
            <w:i/>
          </w:rPr>
          <w:t>Část druhá</w:t>
        </w:r>
        <w:r>
          <w:rPr>
            <w:webHidden/>
          </w:rPr>
          <w:tab/>
        </w:r>
        <w:r>
          <w:rPr>
            <w:webHidden/>
          </w:rPr>
          <w:fldChar w:fldCharType="begin"/>
        </w:r>
        <w:r>
          <w:rPr>
            <w:webHidden/>
          </w:rPr>
          <w:instrText xml:space="preserve"> PAGEREF _Toc89843551 \h </w:instrText>
        </w:r>
        <w:r>
          <w:rPr>
            <w:webHidden/>
          </w:rPr>
        </w:r>
        <w:r>
          <w:rPr>
            <w:webHidden/>
          </w:rPr>
          <w:fldChar w:fldCharType="separate"/>
        </w:r>
        <w:r w:rsidR="00F05C32">
          <w:rPr>
            <w:webHidden/>
          </w:rPr>
          <w:t>4</w:t>
        </w:r>
        <w:r>
          <w:rPr>
            <w:webHidden/>
          </w:rPr>
          <w:fldChar w:fldCharType="end"/>
        </w:r>
      </w:hyperlink>
    </w:p>
    <w:p w:rsidR="00B74943" w:rsidRPr="00207806" w:rsidRDefault="00B74943">
      <w:pPr>
        <w:pStyle w:val="Obsah1"/>
        <w:rPr>
          <w:rFonts w:ascii="Calibri" w:hAnsi="Calibri"/>
          <w:b w:val="0"/>
          <w:bCs w:val="0"/>
          <w:lang w:eastAsia="cs-CZ"/>
        </w:rPr>
      </w:pPr>
      <w:hyperlink w:anchor="_Toc89843552" w:history="1">
        <w:r w:rsidRPr="007B2410">
          <w:rPr>
            <w:rStyle w:val="Hypertextovodkaz"/>
          </w:rPr>
          <w:t>OBECNÁ USTANOVENÍ</w:t>
        </w:r>
        <w:r>
          <w:rPr>
            <w:webHidden/>
          </w:rPr>
          <w:tab/>
        </w:r>
        <w:r>
          <w:rPr>
            <w:webHidden/>
          </w:rPr>
          <w:fldChar w:fldCharType="begin"/>
        </w:r>
        <w:r>
          <w:rPr>
            <w:webHidden/>
          </w:rPr>
          <w:instrText xml:space="preserve"> PAGEREF _Toc89843552 \h </w:instrText>
        </w:r>
        <w:r>
          <w:rPr>
            <w:webHidden/>
          </w:rPr>
        </w:r>
        <w:r>
          <w:rPr>
            <w:webHidden/>
          </w:rPr>
          <w:fldChar w:fldCharType="separate"/>
        </w:r>
        <w:r w:rsidR="00F05C32">
          <w:rPr>
            <w:webHidden/>
          </w:rPr>
          <w:t>4</w:t>
        </w:r>
        <w:r>
          <w:rPr>
            <w:webHidden/>
          </w:rPr>
          <w:fldChar w:fldCharType="end"/>
        </w:r>
      </w:hyperlink>
    </w:p>
    <w:p w:rsidR="00B74943" w:rsidRPr="00207806" w:rsidRDefault="00B74943">
      <w:pPr>
        <w:pStyle w:val="Obsah2"/>
        <w:tabs>
          <w:tab w:val="right" w:leader="dot" w:pos="9628"/>
        </w:tabs>
        <w:rPr>
          <w:rFonts w:ascii="Calibri" w:hAnsi="Calibri"/>
          <w:noProof/>
          <w:sz w:val="22"/>
          <w:szCs w:val="22"/>
        </w:rPr>
      </w:pPr>
      <w:hyperlink w:anchor="_Toc89843553" w:history="1">
        <w:r w:rsidRPr="007B2410">
          <w:rPr>
            <w:rStyle w:val="Hypertextovodkaz"/>
            <w:b/>
            <w:noProof/>
          </w:rPr>
          <w:t>Hlava první</w:t>
        </w:r>
        <w:r>
          <w:rPr>
            <w:noProof/>
            <w:webHidden/>
          </w:rPr>
          <w:tab/>
        </w:r>
        <w:r>
          <w:rPr>
            <w:noProof/>
            <w:webHidden/>
          </w:rPr>
          <w:fldChar w:fldCharType="begin"/>
        </w:r>
        <w:r>
          <w:rPr>
            <w:noProof/>
            <w:webHidden/>
          </w:rPr>
          <w:instrText xml:space="preserve"> PAGEREF _Toc89843553 \h </w:instrText>
        </w:r>
        <w:r>
          <w:rPr>
            <w:noProof/>
            <w:webHidden/>
          </w:rPr>
        </w:r>
        <w:r>
          <w:rPr>
            <w:noProof/>
            <w:webHidden/>
          </w:rPr>
          <w:fldChar w:fldCharType="separate"/>
        </w:r>
        <w:r w:rsidR="00F05C32">
          <w:rPr>
            <w:noProof/>
            <w:webHidden/>
          </w:rPr>
          <w:t>4</w:t>
        </w:r>
        <w:r>
          <w:rPr>
            <w:noProof/>
            <w:webHidden/>
          </w:rPr>
          <w:fldChar w:fldCharType="end"/>
        </w:r>
      </w:hyperlink>
    </w:p>
    <w:p w:rsidR="00B74943" w:rsidRPr="00207806" w:rsidRDefault="00B74943">
      <w:pPr>
        <w:pStyle w:val="Obsah2"/>
        <w:tabs>
          <w:tab w:val="right" w:leader="dot" w:pos="9628"/>
        </w:tabs>
        <w:rPr>
          <w:rFonts w:ascii="Calibri" w:hAnsi="Calibri"/>
          <w:noProof/>
          <w:sz w:val="22"/>
          <w:szCs w:val="22"/>
        </w:rPr>
      </w:pPr>
      <w:hyperlink w:anchor="_Toc89843554" w:history="1">
        <w:r w:rsidRPr="007B2410">
          <w:rPr>
            <w:rStyle w:val="Hypertextovodkaz"/>
            <w:b/>
            <w:noProof/>
          </w:rPr>
          <w:t>Společná ustanovení ke škodám</w:t>
        </w:r>
        <w:r>
          <w:rPr>
            <w:noProof/>
            <w:webHidden/>
          </w:rPr>
          <w:tab/>
        </w:r>
        <w:r>
          <w:rPr>
            <w:noProof/>
            <w:webHidden/>
          </w:rPr>
          <w:fldChar w:fldCharType="begin"/>
        </w:r>
        <w:r>
          <w:rPr>
            <w:noProof/>
            <w:webHidden/>
          </w:rPr>
          <w:instrText xml:space="preserve"> PAGEREF _Toc89843554 \h </w:instrText>
        </w:r>
        <w:r>
          <w:rPr>
            <w:noProof/>
            <w:webHidden/>
          </w:rPr>
        </w:r>
        <w:r>
          <w:rPr>
            <w:noProof/>
            <w:webHidden/>
          </w:rPr>
          <w:fldChar w:fldCharType="separate"/>
        </w:r>
        <w:r w:rsidR="00F05C32">
          <w:rPr>
            <w:noProof/>
            <w:webHidden/>
          </w:rPr>
          <w:t>4</w:t>
        </w:r>
        <w:r>
          <w:rPr>
            <w:noProof/>
            <w:webHidden/>
          </w:rPr>
          <w:fldChar w:fldCharType="end"/>
        </w:r>
      </w:hyperlink>
    </w:p>
    <w:p w:rsidR="00B74943" w:rsidRPr="00207806" w:rsidRDefault="00B74943" w:rsidP="00B74943">
      <w:pPr>
        <w:pStyle w:val="Obsah3"/>
        <w:rPr>
          <w:rFonts w:ascii="Calibri" w:hAnsi="Calibri"/>
          <w:sz w:val="22"/>
          <w:szCs w:val="22"/>
        </w:rPr>
      </w:pPr>
      <w:hyperlink w:anchor="_Toc89843555" w:history="1">
        <w:r w:rsidRPr="007B2410">
          <w:rPr>
            <w:rStyle w:val="Hypertextovodkaz"/>
            <w:b/>
          </w:rPr>
          <w:t>Čl. III. Povinnosti zaměstnanců předcházet škodám</w:t>
        </w:r>
        <w:r>
          <w:rPr>
            <w:webHidden/>
          </w:rPr>
          <w:tab/>
        </w:r>
        <w:r>
          <w:rPr>
            <w:webHidden/>
          </w:rPr>
          <w:fldChar w:fldCharType="begin"/>
        </w:r>
        <w:r>
          <w:rPr>
            <w:webHidden/>
          </w:rPr>
          <w:instrText xml:space="preserve"> PAGEREF _Toc89843555 \h </w:instrText>
        </w:r>
        <w:r>
          <w:rPr>
            <w:webHidden/>
          </w:rPr>
        </w:r>
        <w:r>
          <w:rPr>
            <w:webHidden/>
          </w:rPr>
          <w:fldChar w:fldCharType="separate"/>
        </w:r>
        <w:r w:rsidR="00F05C32">
          <w:rPr>
            <w:webHidden/>
          </w:rPr>
          <w:t>4</w:t>
        </w:r>
        <w:r>
          <w:rPr>
            <w:webHidden/>
          </w:rPr>
          <w:fldChar w:fldCharType="end"/>
        </w:r>
      </w:hyperlink>
    </w:p>
    <w:p w:rsidR="00B74943" w:rsidRPr="00207806" w:rsidRDefault="00B74943" w:rsidP="00B74943">
      <w:pPr>
        <w:pStyle w:val="Obsah3"/>
        <w:rPr>
          <w:rFonts w:ascii="Calibri" w:hAnsi="Calibri"/>
          <w:sz w:val="22"/>
          <w:szCs w:val="22"/>
        </w:rPr>
      </w:pPr>
      <w:hyperlink w:anchor="_Toc89843556" w:history="1">
        <w:r w:rsidRPr="007B2410">
          <w:rPr>
            <w:rStyle w:val="Hypertextovodkaz"/>
            <w:b/>
          </w:rPr>
          <w:t>Čl. IV. Povinnost zaměstnanců k náhradě škody</w:t>
        </w:r>
        <w:r>
          <w:rPr>
            <w:webHidden/>
          </w:rPr>
          <w:tab/>
        </w:r>
        <w:r>
          <w:rPr>
            <w:webHidden/>
          </w:rPr>
          <w:fldChar w:fldCharType="begin"/>
        </w:r>
        <w:r>
          <w:rPr>
            <w:webHidden/>
          </w:rPr>
          <w:instrText xml:space="preserve"> PAGEREF _Toc89843556 \h </w:instrText>
        </w:r>
        <w:r>
          <w:rPr>
            <w:webHidden/>
          </w:rPr>
        </w:r>
        <w:r>
          <w:rPr>
            <w:webHidden/>
          </w:rPr>
          <w:fldChar w:fldCharType="separate"/>
        </w:r>
        <w:r w:rsidR="00F05C32">
          <w:rPr>
            <w:webHidden/>
          </w:rPr>
          <w:t>5</w:t>
        </w:r>
        <w:r>
          <w:rPr>
            <w:webHidden/>
          </w:rPr>
          <w:fldChar w:fldCharType="end"/>
        </w:r>
      </w:hyperlink>
    </w:p>
    <w:p w:rsidR="00B74943" w:rsidRPr="00207806" w:rsidRDefault="00B74943" w:rsidP="00B74943">
      <w:pPr>
        <w:pStyle w:val="Obsah3"/>
        <w:rPr>
          <w:rFonts w:ascii="Calibri" w:hAnsi="Calibri"/>
          <w:sz w:val="22"/>
          <w:szCs w:val="22"/>
        </w:rPr>
      </w:pPr>
      <w:hyperlink w:anchor="_Toc89843557" w:history="1">
        <w:r w:rsidRPr="007B2410">
          <w:rPr>
            <w:rStyle w:val="Hypertextovodkaz"/>
            <w:b/>
          </w:rPr>
          <w:t>Čl. V. Škoda vzniklá či způsobená zaměstnavateli</w:t>
        </w:r>
        <w:r>
          <w:rPr>
            <w:webHidden/>
          </w:rPr>
          <w:tab/>
        </w:r>
        <w:r>
          <w:rPr>
            <w:webHidden/>
          </w:rPr>
          <w:fldChar w:fldCharType="begin"/>
        </w:r>
        <w:r>
          <w:rPr>
            <w:webHidden/>
          </w:rPr>
          <w:instrText xml:space="preserve"> PAGEREF _Toc89843557 \h </w:instrText>
        </w:r>
        <w:r>
          <w:rPr>
            <w:webHidden/>
          </w:rPr>
        </w:r>
        <w:r>
          <w:rPr>
            <w:webHidden/>
          </w:rPr>
          <w:fldChar w:fldCharType="separate"/>
        </w:r>
        <w:r w:rsidR="00F05C32">
          <w:rPr>
            <w:webHidden/>
          </w:rPr>
          <w:t>5</w:t>
        </w:r>
        <w:r>
          <w:rPr>
            <w:webHidden/>
          </w:rPr>
          <w:fldChar w:fldCharType="end"/>
        </w:r>
      </w:hyperlink>
    </w:p>
    <w:p w:rsidR="00B74943" w:rsidRPr="00207806" w:rsidRDefault="00B74943" w:rsidP="00B74943">
      <w:pPr>
        <w:pStyle w:val="Obsah3"/>
        <w:rPr>
          <w:rFonts w:ascii="Calibri" w:hAnsi="Calibri"/>
          <w:sz w:val="22"/>
          <w:szCs w:val="22"/>
        </w:rPr>
      </w:pPr>
      <w:hyperlink w:anchor="_Toc89843558" w:history="1">
        <w:r w:rsidRPr="007B2410">
          <w:rPr>
            <w:rStyle w:val="Hypertextovodkaz"/>
            <w:b/>
          </w:rPr>
          <w:t>Čl. VI. Rozsah a způsob náhrady škody</w:t>
        </w:r>
        <w:r>
          <w:rPr>
            <w:webHidden/>
          </w:rPr>
          <w:tab/>
        </w:r>
        <w:r>
          <w:rPr>
            <w:webHidden/>
          </w:rPr>
          <w:fldChar w:fldCharType="begin"/>
        </w:r>
        <w:r>
          <w:rPr>
            <w:webHidden/>
          </w:rPr>
          <w:instrText xml:space="preserve"> PAGEREF _Toc89843558 \h </w:instrText>
        </w:r>
        <w:r>
          <w:rPr>
            <w:webHidden/>
          </w:rPr>
        </w:r>
        <w:r>
          <w:rPr>
            <w:webHidden/>
          </w:rPr>
          <w:fldChar w:fldCharType="separate"/>
        </w:r>
        <w:r w:rsidR="00F05C32">
          <w:rPr>
            <w:webHidden/>
          </w:rPr>
          <w:t>6</w:t>
        </w:r>
        <w:r>
          <w:rPr>
            <w:webHidden/>
          </w:rPr>
          <w:fldChar w:fldCharType="end"/>
        </w:r>
      </w:hyperlink>
    </w:p>
    <w:p w:rsidR="00B74943" w:rsidRPr="00207806" w:rsidRDefault="00B74943">
      <w:pPr>
        <w:pStyle w:val="Obsah2"/>
        <w:tabs>
          <w:tab w:val="right" w:leader="dot" w:pos="9628"/>
        </w:tabs>
        <w:rPr>
          <w:rFonts w:ascii="Calibri" w:hAnsi="Calibri"/>
          <w:noProof/>
          <w:sz w:val="22"/>
          <w:szCs w:val="22"/>
        </w:rPr>
      </w:pPr>
      <w:hyperlink w:anchor="_Toc89843559" w:history="1">
        <w:r w:rsidRPr="007B2410">
          <w:rPr>
            <w:rStyle w:val="Hypertextovodkaz"/>
            <w:b/>
            <w:noProof/>
          </w:rPr>
          <w:t>Hlava druhá</w:t>
        </w:r>
        <w:r>
          <w:rPr>
            <w:noProof/>
            <w:webHidden/>
          </w:rPr>
          <w:tab/>
        </w:r>
        <w:r>
          <w:rPr>
            <w:noProof/>
            <w:webHidden/>
          </w:rPr>
          <w:fldChar w:fldCharType="begin"/>
        </w:r>
        <w:r>
          <w:rPr>
            <w:noProof/>
            <w:webHidden/>
          </w:rPr>
          <w:instrText xml:space="preserve"> PAGEREF _Toc89843559 \h </w:instrText>
        </w:r>
        <w:r>
          <w:rPr>
            <w:noProof/>
            <w:webHidden/>
          </w:rPr>
        </w:r>
        <w:r>
          <w:rPr>
            <w:noProof/>
            <w:webHidden/>
          </w:rPr>
          <w:fldChar w:fldCharType="separate"/>
        </w:r>
        <w:r w:rsidR="00F05C32">
          <w:rPr>
            <w:noProof/>
            <w:webHidden/>
          </w:rPr>
          <w:t>6</w:t>
        </w:r>
        <w:r>
          <w:rPr>
            <w:noProof/>
            <w:webHidden/>
          </w:rPr>
          <w:fldChar w:fldCharType="end"/>
        </w:r>
      </w:hyperlink>
    </w:p>
    <w:p w:rsidR="00B74943" w:rsidRPr="00207806" w:rsidRDefault="00B74943">
      <w:pPr>
        <w:pStyle w:val="Obsah2"/>
        <w:tabs>
          <w:tab w:val="right" w:leader="dot" w:pos="9628"/>
        </w:tabs>
        <w:rPr>
          <w:rFonts w:ascii="Calibri" w:hAnsi="Calibri"/>
          <w:noProof/>
          <w:sz w:val="22"/>
          <w:szCs w:val="22"/>
        </w:rPr>
      </w:pPr>
      <w:hyperlink w:anchor="_Toc89843560" w:history="1">
        <w:r w:rsidRPr="007B2410">
          <w:rPr>
            <w:rStyle w:val="Hypertextovodkaz"/>
            <w:b/>
            <w:noProof/>
          </w:rPr>
          <w:t>Postup při řešení náhrady škody kraji</w:t>
        </w:r>
        <w:r>
          <w:rPr>
            <w:noProof/>
            <w:webHidden/>
          </w:rPr>
          <w:tab/>
        </w:r>
        <w:r>
          <w:rPr>
            <w:noProof/>
            <w:webHidden/>
          </w:rPr>
          <w:fldChar w:fldCharType="begin"/>
        </w:r>
        <w:r>
          <w:rPr>
            <w:noProof/>
            <w:webHidden/>
          </w:rPr>
          <w:instrText xml:space="preserve"> PAGEREF _Toc89843560 \h </w:instrText>
        </w:r>
        <w:r>
          <w:rPr>
            <w:noProof/>
            <w:webHidden/>
          </w:rPr>
        </w:r>
        <w:r>
          <w:rPr>
            <w:noProof/>
            <w:webHidden/>
          </w:rPr>
          <w:fldChar w:fldCharType="separate"/>
        </w:r>
        <w:r w:rsidR="00F05C32">
          <w:rPr>
            <w:noProof/>
            <w:webHidden/>
          </w:rPr>
          <w:t>6</w:t>
        </w:r>
        <w:r>
          <w:rPr>
            <w:noProof/>
            <w:webHidden/>
          </w:rPr>
          <w:fldChar w:fldCharType="end"/>
        </w:r>
      </w:hyperlink>
    </w:p>
    <w:p w:rsidR="00B74943" w:rsidRPr="00207806" w:rsidRDefault="00B74943" w:rsidP="00B74943">
      <w:pPr>
        <w:pStyle w:val="Obsah3"/>
        <w:rPr>
          <w:rFonts w:ascii="Calibri" w:hAnsi="Calibri"/>
          <w:sz w:val="22"/>
          <w:szCs w:val="22"/>
        </w:rPr>
      </w:pPr>
      <w:hyperlink w:anchor="_Toc89843561" w:history="1">
        <w:r w:rsidRPr="007B2410">
          <w:rPr>
            <w:rStyle w:val="Hypertextovodkaz"/>
            <w:b/>
          </w:rPr>
          <w:t>Čl. VII. Prošetření okolností, oznámení škody a její šetření</w:t>
        </w:r>
        <w:r>
          <w:rPr>
            <w:webHidden/>
          </w:rPr>
          <w:tab/>
        </w:r>
        <w:r>
          <w:rPr>
            <w:webHidden/>
          </w:rPr>
          <w:fldChar w:fldCharType="begin"/>
        </w:r>
        <w:r>
          <w:rPr>
            <w:webHidden/>
          </w:rPr>
          <w:instrText xml:space="preserve"> PAGEREF _Toc89843561 \h </w:instrText>
        </w:r>
        <w:r>
          <w:rPr>
            <w:webHidden/>
          </w:rPr>
        </w:r>
        <w:r>
          <w:rPr>
            <w:webHidden/>
          </w:rPr>
          <w:fldChar w:fldCharType="separate"/>
        </w:r>
        <w:r w:rsidR="00F05C32">
          <w:rPr>
            <w:webHidden/>
          </w:rPr>
          <w:t>6</w:t>
        </w:r>
        <w:r>
          <w:rPr>
            <w:webHidden/>
          </w:rPr>
          <w:fldChar w:fldCharType="end"/>
        </w:r>
      </w:hyperlink>
    </w:p>
    <w:p w:rsidR="00B74943" w:rsidRPr="00207806" w:rsidRDefault="00B74943" w:rsidP="00B74943">
      <w:pPr>
        <w:pStyle w:val="Obsah3"/>
        <w:rPr>
          <w:rFonts w:ascii="Calibri" w:hAnsi="Calibri"/>
          <w:sz w:val="22"/>
          <w:szCs w:val="22"/>
        </w:rPr>
      </w:pPr>
      <w:hyperlink w:anchor="_Toc89843562" w:history="1">
        <w:r w:rsidRPr="007B2410">
          <w:rPr>
            <w:rStyle w:val="Hypertextovodkaz"/>
            <w:b/>
          </w:rPr>
          <w:t>Čl. VIII. Administrace škodních případů kraje do 10.000,00 Kč</w:t>
        </w:r>
        <w:r>
          <w:rPr>
            <w:webHidden/>
          </w:rPr>
          <w:tab/>
        </w:r>
        <w:r>
          <w:rPr>
            <w:webHidden/>
          </w:rPr>
          <w:fldChar w:fldCharType="begin"/>
        </w:r>
        <w:r>
          <w:rPr>
            <w:webHidden/>
          </w:rPr>
          <w:instrText xml:space="preserve"> PAGEREF _Toc89843562 \h </w:instrText>
        </w:r>
        <w:r>
          <w:rPr>
            <w:webHidden/>
          </w:rPr>
        </w:r>
        <w:r>
          <w:rPr>
            <w:webHidden/>
          </w:rPr>
          <w:fldChar w:fldCharType="separate"/>
        </w:r>
        <w:r w:rsidR="00F05C32">
          <w:rPr>
            <w:webHidden/>
          </w:rPr>
          <w:t>8</w:t>
        </w:r>
        <w:r>
          <w:rPr>
            <w:webHidden/>
          </w:rPr>
          <w:fldChar w:fldCharType="end"/>
        </w:r>
      </w:hyperlink>
    </w:p>
    <w:p w:rsidR="00B74943" w:rsidRPr="00207806" w:rsidRDefault="00B74943" w:rsidP="00B74943">
      <w:pPr>
        <w:pStyle w:val="Obsah3"/>
        <w:rPr>
          <w:rFonts w:ascii="Calibri" w:hAnsi="Calibri"/>
          <w:sz w:val="22"/>
          <w:szCs w:val="22"/>
        </w:rPr>
      </w:pPr>
      <w:hyperlink w:anchor="_Toc89843563" w:history="1">
        <w:r w:rsidRPr="007B2410">
          <w:rPr>
            <w:rStyle w:val="Hypertextovodkaz"/>
            <w:b/>
          </w:rPr>
          <w:t>Čl. IX. Administrace škodních případů kraje nad 10.000,00 Kč</w:t>
        </w:r>
        <w:r>
          <w:rPr>
            <w:webHidden/>
          </w:rPr>
          <w:tab/>
        </w:r>
        <w:r>
          <w:rPr>
            <w:webHidden/>
          </w:rPr>
          <w:fldChar w:fldCharType="begin"/>
        </w:r>
        <w:r>
          <w:rPr>
            <w:webHidden/>
          </w:rPr>
          <w:instrText xml:space="preserve"> PAGEREF _Toc89843563 \h </w:instrText>
        </w:r>
        <w:r>
          <w:rPr>
            <w:webHidden/>
          </w:rPr>
        </w:r>
        <w:r>
          <w:rPr>
            <w:webHidden/>
          </w:rPr>
          <w:fldChar w:fldCharType="separate"/>
        </w:r>
        <w:r w:rsidR="00F05C32">
          <w:rPr>
            <w:webHidden/>
          </w:rPr>
          <w:t>9</w:t>
        </w:r>
        <w:r>
          <w:rPr>
            <w:webHidden/>
          </w:rPr>
          <w:fldChar w:fldCharType="end"/>
        </w:r>
      </w:hyperlink>
    </w:p>
    <w:p w:rsidR="00B74943" w:rsidRPr="00207806" w:rsidRDefault="00B74943" w:rsidP="00B74943">
      <w:pPr>
        <w:pStyle w:val="Obsah3"/>
        <w:rPr>
          <w:rFonts w:ascii="Calibri" w:hAnsi="Calibri"/>
          <w:sz w:val="22"/>
          <w:szCs w:val="22"/>
        </w:rPr>
      </w:pPr>
      <w:hyperlink w:anchor="_Toc89843564" w:history="1">
        <w:r w:rsidRPr="007B2410">
          <w:rPr>
            <w:rStyle w:val="Hypertextovodkaz"/>
            <w:b/>
          </w:rPr>
          <w:t>Čl. X. Postup při administraci škod dle občanského zákoníku</w:t>
        </w:r>
        <w:r>
          <w:rPr>
            <w:webHidden/>
          </w:rPr>
          <w:tab/>
        </w:r>
        <w:r>
          <w:rPr>
            <w:webHidden/>
          </w:rPr>
          <w:fldChar w:fldCharType="begin"/>
        </w:r>
        <w:r>
          <w:rPr>
            <w:webHidden/>
          </w:rPr>
          <w:instrText xml:space="preserve"> PAGEREF _Toc89843564 \h </w:instrText>
        </w:r>
        <w:r>
          <w:rPr>
            <w:webHidden/>
          </w:rPr>
        </w:r>
        <w:r>
          <w:rPr>
            <w:webHidden/>
          </w:rPr>
          <w:fldChar w:fldCharType="separate"/>
        </w:r>
        <w:r w:rsidR="00F05C32">
          <w:rPr>
            <w:webHidden/>
          </w:rPr>
          <w:t>13</w:t>
        </w:r>
        <w:r>
          <w:rPr>
            <w:webHidden/>
          </w:rPr>
          <w:fldChar w:fldCharType="end"/>
        </w:r>
      </w:hyperlink>
    </w:p>
    <w:p w:rsidR="00B74943" w:rsidRPr="00207806" w:rsidRDefault="00B74943">
      <w:pPr>
        <w:pStyle w:val="Obsah2"/>
        <w:tabs>
          <w:tab w:val="right" w:leader="dot" w:pos="9628"/>
        </w:tabs>
        <w:rPr>
          <w:rFonts w:ascii="Calibri" w:hAnsi="Calibri"/>
          <w:noProof/>
          <w:sz w:val="22"/>
          <w:szCs w:val="22"/>
        </w:rPr>
      </w:pPr>
      <w:hyperlink w:anchor="_Toc89843565" w:history="1">
        <w:r w:rsidRPr="007B2410">
          <w:rPr>
            <w:rStyle w:val="Hypertextovodkaz"/>
            <w:b/>
            <w:noProof/>
          </w:rPr>
          <w:t>Hlava třetí</w:t>
        </w:r>
        <w:r>
          <w:rPr>
            <w:noProof/>
            <w:webHidden/>
          </w:rPr>
          <w:tab/>
        </w:r>
        <w:r>
          <w:rPr>
            <w:noProof/>
            <w:webHidden/>
          </w:rPr>
          <w:fldChar w:fldCharType="begin"/>
        </w:r>
        <w:r>
          <w:rPr>
            <w:noProof/>
            <w:webHidden/>
          </w:rPr>
          <w:instrText xml:space="preserve"> PAGEREF _Toc89843565 \h </w:instrText>
        </w:r>
        <w:r>
          <w:rPr>
            <w:noProof/>
            <w:webHidden/>
          </w:rPr>
        </w:r>
        <w:r>
          <w:rPr>
            <w:noProof/>
            <w:webHidden/>
          </w:rPr>
          <w:fldChar w:fldCharType="separate"/>
        </w:r>
        <w:r w:rsidR="00F05C32">
          <w:rPr>
            <w:noProof/>
            <w:webHidden/>
          </w:rPr>
          <w:t>13</w:t>
        </w:r>
        <w:r>
          <w:rPr>
            <w:noProof/>
            <w:webHidden/>
          </w:rPr>
          <w:fldChar w:fldCharType="end"/>
        </w:r>
      </w:hyperlink>
    </w:p>
    <w:p w:rsidR="00B74943" w:rsidRPr="00207806" w:rsidRDefault="00B74943">
      <w:pPr>
        <w:pStyle w:val="Obsah2"/>
        <w:tabs>
          <w:tab w:val="right" w:leader="dot" w:pos="9628"/>
        </w:tabs>
        <w:rPr>
          <w:rFonts w:ascii="Calibri" w:hAnsi="Calibri"/>
          <w:noProof/>
          <w:sz w:val="22"/>
          <w:szCs w:val="22"/>
        </w:rPr>
      </w:pPr>
      <w:hyperlink w:anchor="_Toc89843566" w:history="1">
        <w:r w:rsidRPr="007B2410">
          <w:rPr>
            <w:rStyle w:val="Hypertextovodkaz"/>
            <w:b/>
            <w:bCs/>
            <w:noProof/>
            <w:lang w:eastAsia="x-none"/>
          </w:rPr>
          <w:t>Postup při řešení náhrady škody příspěvkové organizaci</w:t>
        </w:r>
        <w:r>
          <w:rPr>
            <w:noProof/>
            <w:webHidden/>
          </w:rPr>
          <w:tab/>
        </w:r>
        <w:r>
          <w:rPr>
            <w:noProof/>
            <w:webHidden/>
          </w:rPr>
          <w:fldChar w:fldCharType="begin"/>
        </w:r>
        <w:r>
          <w:rPr>
            <w:noProof/>
            <w:webHidden/>
          </w:rPr>
          <w:instrText xml:space="preserve"> PAGEREF _Toc89843566 \h </w:instrText>
        </w:r>
        <w:r>
          <w:rPr>
            <w:noProof/>
            <w:webHidden/>
          </w:rPr>
        </w:r>
        <w:r>
          <w:rPr>
            <w:noProof/>
            <w:webHidden/>
          </w:rPr>
          <w:fldChar w:fldCharType="separate"/>
        </w:r>
        <w:r w:rsidR="00F05C32">
          <w:rPr>
            <w:noProof/>
            <w:webHidden/>
          </w:rPr>
          <w:t>13</w:t>
        </w:r>
        <w:r>
          <w:rPr>
            <w:noProof/>
            <w:webHidden/>
          </w:rPr>
          <w:fldChar w:fldCharType="end"/>
        </w:r>
      </w:hyperlink>
    </w:p>
    <w:p w:rsidR="00B74943" w:rsidRPr="00207806" w:rsidRDefault="00B74943" w:rsidP="00B74943">
      <w:pPr>
        <w:pStyle w:val="Obsah3"/>
        <w:rPr>
          <w:rFonts w:ascii="Calibri" w:hAnsi="Calibri"/>
          <w:sz w:val="22"/>
          <w:szCs w:val="22"/>
        </w:rPr>
      </w:pPr>
      <w:hyperlink w:anchor="_Toc89843567" w:history="1">
        <w:r w:rsidRPr="007B2410">
          <w:rPr>
            <w:rStyle w:val="Hypertextovodkaz"/>
            <w:b/>
          </w:rPr>
          <w:t>Čl. XI. Prošetření okolností, oznámení škody a její šetření</w:t>
        </w:r>
        <w:r>
          <w:rPr>
            <w:webHidden/>
          </w:rPr>
          <w:tab/>
        </w:r>
        <w:r>
          <w:rPr>
            <w:webHidden/>
          </w:rPr>
          <w:fldChar w:fldCharType="begin"/>
        </w:r>
        <w:r>
          <w:rPr>
            <w:webHidden/>
          </w:rPr>
          <w:instrText xml:space="preserve"> PAGEREF _Toc89843567 \h </w:instrText>
        </w:r>
        <w:r>
          <w:rPr>
            <w:webHidden/>
          </w:rPr>
        </w:r>
        <w:r>
          <w:rPr>
            <w:webHidden/>
          </w:rPr>
          <w:fldChar w:fldCharType="separate"/>
        </w:r>
        <w:r w:rsidR="00F05C32">
          <w:rPr>
            <w:webHidden/>
          </w:rPr>
          <w:t>13</w:t>
        </w:r>
        <w:r>
          <w:rPr>
            <w:webHidden/>
          </w:rPr>
          <w:fldChar w:fldCharType="end"/>
        </w:r>
      </w:hyperlink>
    </w:p>
    <w:p w:rsidR="00B74943" w:rsidRPr="00207806" w:rsidRDefault="00B74943">
      <w:pPr>
        <w:pStyle w:val="Obsah1"/>
        <w:rPr>
          <w:rFonts w:ascii="Calibri" w:hAnsi="Calibri"/>
          <w:b w:val="0"/>
          <w:bCs w:val="0"/>
          <w:lang w:eastAsia="cs-CZ"/>
        </w:rPr>
      </w:pPr>
      <w:hyperlink w:anchor="_Toc89843568" w:history="1">
        <w:r w:rsidRPr="007B2410">
          <w:rPr>
            <w:rStyle w:val="Hypertextovodkaz"/>
            <w:i/>
          </w:rPr>
          <w:t>Část třetí</w:t>
        </w:r>
        <w:r>
          <w:rPr>
            <w:webHidden/>
          </w:rPr>
          <w:tab/>
        </w:r>
        <w:r>
          <w:rPr>
            <w:webHidden/>
          </w:rPr>
          <w:fldChar w:fldCharType="begin"/>
        </w:r>
        <w:r>
          <w:rPr>
            <w:webHidden/>
          </w:rPr>
          <w:instrText xml:space="preserve"> PAGEREF _Toc89843568 \h </w:instrText>
        </w:r>
        <w:r>
          <w:rPr>
            <w:webHidden/>
          </w:rPr>
        </w:r>
        <w:r>
          <w:rPr>
            <w:webHidden/>
          </w:rPr>
          <w:fldChar w:fldCharType="separate"/>
        </w:r>
        <w:r w:rsidR="00F05C32">
          <w:rPr>
            <w:webHidden/>
          </w:rPr>
          <w:t>14</w:t>
        </w:r>
        <w:r>
          <w:rPr>
            <w:webHidden/>
          </w:rPr>
          <w:fldChar w:fldCharType="end"/>
        </w:r>
      </w:hyperlink>
    </w:p>
    <w:p w:rsidR="00B74943" w:rsidRPr="00207806" w:rsidRDefault="00B74943">
      <w:pPr>
        <w:pStyle w:val="Obsah1"/>
        <w:rPr>
          <w:rFonts w:ascii="Calibri" w:hAnsi="Calibri"/>
          <w:b w:val="0"/>
          <w:bCs w:val="0"/>
          <w:lang w:eastAsia="cs-CZ"/>
        </w:rPr>
      </w:pPr>
      <w:hyperlink w:anchor="_Toc89843569" w:history="1">
        <w:r w:rsidRPr="007B2410">
          <w:rPr>
            <w:rStyle w:val="Hypertextovodkaz"/>
            <w:caps/>
          </w:rPr>
          <w:t>přechodná a Závěrečná ustanovení</w:t>
        </w:r>
        <w:r>
          <w:rPr>
            <w:webHidden/>
          </w:rPr>
          <w:tab/>
        </w:r>
        <w:r>
          <w:rPr>
            <w:webHidden/>
          </w:rPr>
          <w:fldChar w:fldCharType="begin"/>
        </w:r>
        <w:r>
          <w:rPr>
            <w:webHidden/>
          </w:rPr>
          <w:instrText xml:space="preserve"> PAGEREF _Toc89843569 \h </w:instrText>
        </w:r>
        <w:r>
          <w:rPr>
            <w:webHidden/>
          </w:rPr>
        </w:r>
        <w:r>
          <w:rPr>
            <w:webHidden/>
          </w:rPr>
          <w:fldChar w:fldCharType="separate"/>
        </w:r>
        <w:r w:rsidR="00F05C32">
          <w:rPr>
            <w:webHidden/>
          </w:rPr>
          <w:t>14</w:t>
        </w:r>
        <w:r>
          <w:rPr>
            <w:webHidden/>
          </w:rPr>
          <w:fldChar w:fldCharType="end"/>
        </w:r>
      </w:hyperlink>
    </w:p>
    <w:p w:rsidR="00B74943" w:rsidRPr="00207806" w:rsidRDefault="00B74943" w:rsidP="00B74943">
      <w:pPr>
        <w:pStyle w:val="Obsah3"/>
        <w:rPr>
          <w:rFonts w:ascii="Calibri" w:hAnsi="Calibri"/>
          <w:sz w:val="22"/>
          <w:szCs w:val="22"/>
        </w:rPr>
      </w:pPr>
      <w:hyperlink w:anchor="_Toc89843570" w:history="1">
        <w:r w:rsidRPr="007B2410">
          <w:rPr>
            <w:rStyle w:val="Hypertextovodkaz"/>
            <w:b/>
          </w:rPr>
          <w:t>Čl. XII. Konečná ustanovení</w:t>
        </w:r>
        <w:r>
          <w:rPr>
            <w:webHidden/>
          </w:rPr>
          <w:tab/>
        </w:r>
        <w:r>
          <w:rPr>
            <w:webHidden/>
          </w:rPr>
          <w:fldChar w:fldCharType="begin"/>
        </w:r>
        <w:r>
          <w:rPr>
            <w:webHidden/>
          </w:rPr>
          <w:instrText xml:space="preserve"> PAGEREF _Toc89843570 \h </w:instrText>
        </w:r>
        <w:r>
          <w:rPr>
            <w:webHidden/>
          </w:rPr>
        </w:r>
        <w:r>
          <w:rPr>
            <w:webHidden/>
          </w:rPr>
          <w:fldChar w:fldCharType="separate"/>
        </w:r>
        <w:r w:rsidR="00F05C32">
          <w:rPr>
            <w:webHidden/>
          </w:rPr>
          <w:t>14</w:t>
        </w:r>
        <w:r>
          <w:rPr>
            <w:webHidden/>
          </w:rPr>
          <w:fldChar w:fldCharType="end"/>
        </w:r>
      </w:hyperlink>
    </w:p>
    <w:p w:rsidR="00B74943" w:rsidRPr="00207806" w:rsidRDefault="00B74943">
      <w:pPr>
        <w:pStyle w:val="Obsah1"/>
        <w:rPr>
          <w:rFonts w:ascii="Calibri" w:hAnsi="Calibri"/>
          <w:b w:val="0"/>
          <w:bCs w:val="0"/>
          <w:lang w:eastAsia="cs-CZ"/>
        </w:rPr>
      </w:pPr>
      <w:hyperlink w:anchor="_Toc89843571" w:history="1">
        <w:r w:rsidRPr="007B2410">
          <w:rPr>
            <w:rStyle w:val="Hypertextovodkaz"/>
            <w:i/>
          </w:rPr>
          <w:t>Přílohy:</w:t>
        </w:r>
        <w:r>
          <w:rPr>
            <w:webHidden/>
          </w:rPr>
          <w:tab/>
        </w:r>
        <w:r>
          <w:rPr>
            <w:webHidden/>
          </w:rPr>
          <w:fldChar w:fldCharType="begin"/>
        </w:r>
        <w:r>
          <w:rPr>
            <w:webHidden/>
          </w:rPr>
          <w:instrText xml:space="preserve"> PAGEREF _Toc89843571 \h </w:instrText>
        </w:r>
        <w:r>
          <w:rPr>
            <w:webHidden/>
          </w:rPr>
        </w:r>
        <w:r>
          <w:rPr>
            <w:webHidden/>
          </w:rPr>
          <w:fldChar w:fldCharType="separate"/>
        </w:r>
        <w:r w:rsidR="00F05C32">
          <w:rPr>
            <w:webHidden/>
          </w:rPr>
          <w:t>14</w:t>
        </w:r>
        <w:r>
          <w:rPr>
            <w:webHidden/>
          </w:rPr>
          <w:fldChar w:fldCharType="end"/>
        </w:r>
      </w:hyperlink>
    </w:p>
    <w:p w:rsidR="00C2007D" w:rsidRDefault="00C2007D" w:rsidP="00F82BCB">
      <w:pPr>
        <w:spacing w:before="120"/>
      </w:pPr>
      <w:r>
        <w:rPr>
          <w:b/>
          <w:bCs/>
        </w:rPr>
        <w:fldChar w:fldCharType="end"/>
      </w:r>
    </w:p>
    <w:p w:rsidR="00766EDA" w:rsidRDefault="00374943" w:rsidP="00374943">
      <w:pPr>
        <w:tabs>
          <w:tab w:val="left" w:pos="7016"/>
        </w:tabs>
        <w:spacing w:after="120"/>
        <w:rPr>
          <w:b/>
          <w:bCs/>
          <w:sz w:val="22"/>
          <w:szCs w:val="22"/>
          <w:lang w:val="x-none" w:eastAsia="x-none"/>
        </w:rPr>
      </w:pPr>
      <w:r>
        <w:rPr>
          <w:b/>
          <w:bCs/>
          <w:sz w:val="22"/>
          <w:szCs w:val="22"/>
          <w:lang w:val="x-none" w:eastAsia="x-none"/>
        </w:rPr>
        <w:tab/>
      </w:r>
    </w:p>
    <w:p w:rsidR="00C2007D" w:rsidRDefault="00275153" w:rsidP="00275153">
      <w:pPr>
        <w:tabs>
          <w:tab w:val="left" w:pos="7414"/>
        </w:tabs>
        <w:spacing w:after="120"/>
        <w:rPr>
          <w:b/>
          <w:bCs/>
          <w:sz w:val="22"/>
          <w:szCs w:val="22"/>
          <w:lang w:val="x-none" w:eastAsia="x-none"/>
        </w:rPr>
      </w:pPr>
      <w:r>
        <w:rPr>
          <w:b/>
          <w:bCs/>
          <w:sz w:val="22"/>
          <w:szCs w:val="22"/>
          <w:lang w:val="x-none" w:eastAsia="x-none"/>
        </w:rPr>
        <w:tab/>
      </w:r>
    </w:p>
    <w:p w:rsidR="00C2007D" w:rsidRDefault="00C2007D" w:rsidP="00766EDA">
      <w:pPr>
        <w:spacing w:after="120"/>
        <w:jc w:val="center"/>
        <w:rPr>
          <w:b/>
          <w:bCs/>
          <w:sz w:val="22"/>
          <w:szCs w:val="22"/>
          <w:lang w:val="x-none" w:eastAsia="x-none"/>
        </w:rPr>
      </w:pPr>
    </w:p>
    <w:p w:rsidR="00C2007D" w:rsidRPr="00372C7D" w:rsidRDefault="00C2007D" w:rsidP="00766EDA">
      <w:pPr>
        <w:spacing w:after="120"/>
        <w:jc w:val="center"/>
        <w:rPr>
          <w:b/>
          <w:bCs/>
          <w:sz w:val="22"/>
          <w:szCs w:val="22"/>
          <w:lang w:val="x-none" w:eastAsia="x-none"/>
        </w:rPr>
      </w:pPr>
    </w:p>
    <w:p w:rsidR="00766EDA" w:rsidRPr="002A18CB" w:rsidRDefault="00766EDA" w:rsidP="00766EDA">
      <w:pPr>
        <w:jc w:val="both"/>
        <w:rPr>
          <w:sz w:val="22"/>
          <w:szCs w:val="22"/>
        </w:rPr>
      </w:pPr>
      <w:r w:rsidRPr="00372C7D">
        <w:rPr>
          <w:b/>
          <w:bCs/>
          <w:sz w:val="22"/>
          <w:szCs w:val="22"/>
        </w:rPr>
        <w:br w:type="page"/>
      </w:r>
      <w:r w:rsidRPr="002A18CB">
        <w:rPr>
          <w:bCs/>
          <w:iCs/>
          <w:sz w:val="22"/>
          <w:szCs w:val="22"/>
        </w:rPr>
        <w:t xml:space="preserve">Rada Karlovarského kraje dle </w:t>
      </w:r>
      <w:r w:rsidR="00F07962">
        <w:rPr>
          <w:bCs/>
          <w:iCs/>
          <w:sz w:val="22"/>
          <w:szCs w:val="22"/>
        </w:rPr>
        <w:t xml:space="preserve">§ 59 odst. 1 písm. i) </w:t>
      </w:r>
      <w:r>
        <w:rPr>
          <w:bCs/>
          <w:iCs/>
          <w:sz w:val="22"/>
          <w:szCs w:val="22"/>
        </w:rPr>
        <w:t>zá</w:t>
      </w:r>
      <w:r w:rsidRPr="002A18CB">
        <w:rPr>
          <w:bCs/>
          <w:iCs/>
          <w:sz w:val="22"/>
          <w:szCs w:val="22"/>
        </w:rPr>
        <w:t>kona č. 129/2000 Sb., o krajích (krajské zřízení), ve znění pozdějších předpisů</w:t>
      </w:r>
      <w:r w:rsidR="008133B9">
        <w:rPr>
          <w:bCs/>
          <w:iCs/>
          <w:sz w:val="22"/>
          <w:szCs w:val="22"/>
        </w:rPr>
        <w:t xml:space="preserve"> (dále jen „zákon o krajích“)</w:t>
      </w:r>
      <w:r w:rsidR="00F07962">
        <w:rPr>
          <w:bCs/>
          <w:iCs/>
          <w:sz w:val="22"/>
          <w:szCs w:val="22"/>
        </w:rPr>
        <w:t>,</w:t>
      </w:r>
      <w:r w:rsidRPr="002A18CB">
        <w:rPr>
          <w:bCs/>
          <w:iCs/>
          <w:sz w:val="22"/>
          <w:szCs w:val="22"/>
        </w:rPr>
        <w:t xml:space="preserve"> </w:t>
      </w:r>
      <w:r w:rsidR="00F07962">
        <w:rPr>
          <w:sz w:val="22"/>
          <w:szCs w:val="22"/>
        </w:rPr>
        <w:t xml:space="preserve">hejtman Karlovarského kraje dle § 61 odst. 3 písm. h) zákona o krajích a ředitelka Krajského úřadu Karlovarského kraje dle § 69 odst. 2 písm. c) zákona o krajích, </w:t>
      </w:r>
      <w:r w:rsidRPr="002A18CB">
        <w:rPr>
          <w:bCs/>
          <w:iCs/>
          <w:sz w:val="22"/>
          <w:szCs w:val="22"/>
        </w:rPr>
        <w:t xml:space="preserve">v souladu se </w:t>
      </w:r>
      <w:r w:rsidRPr="002A18CB">
        <w:rPr>
          <w:sz w:val="22"/>
          <w:szCs w:val="22"/>
        </w:rPr>
        <w:t xml:space="preserve">zákonem č. </w:t>
      </w:r>
      <w:r>
        <w:rPr>
          <w:sz w:val="22"/>
          <w:szCs w:val="22"/>
        </w:rPr>
        <w:t>262</w:t>
      </w:r>
      <w:r w:rsidRPr="002A18CB">
        <w:rPr>
          <w:sz w:val="22"/>
          <w:szCs w:val="22"/>
        </w:rPr>
        <w:t>/</w:t>
      </w:r>
      <w:r>
        <w:rPr>
          <w:sz w:val="22"/>
          <w:szCs w:val="22"/>
        </w:rPr>
        <w:t>2006</w:t>
      </w:r>
      <w:r w:rsidRPr="002A18CB">
        <w:rPr>
          <w:sz w:val="22"/>
          <w:szCs w:val="22"/>
        </w:rPr>
        <w:t xml:space="preserve"> Sb., </w:t>
      </w:r>
      <w:r>
        <w:rPr>
          <w:sz w:val="22"/>
          <w:szCs w:val="22"/>
        </w:rPr>
        <w:t>zákoník práce</w:t>
      </w:r>
      <w:r w:rsidRPr="002A18CB">
        <w:rPr>
          <w:sz w:val="22"/>
          <w:szCs w:val="22"/>
        </w:rPr>
        <w:t>, ve znění pozdějších předpisů</w:t>
      </w:r>
      <w:r>
        <w:rPr>
          <w:sz w:val="22"/>
          <w:szCs w:val="22"/>
        </w:rPr>
        <w:t xml:space="preserve"> (dále jen „zákoník práce“)</w:t>
      </w:r>
      <w:r w:rsidRPr="002A18CB">
        <w:rPr>
          <w:sz w:val="22"/>
          <w:szCs w:val="22"/>
        </w:rPr>
        <w:t xml:space="preserve"> a </w:t>
      </w:r>
      <w:r>
        <w:rPr>
          <w:sz w:val="22"/>
          <w:szCs w:val="22"/>
        </w:rPr>
        <w:t>zákonem č. 89/2012</w:t>
      </w:r>
      <w:r w:rsidRPr="002A18CB">
        <w:rPr>
          <w:sz w:val="22"/>
          <w:szCs w:val="22"/>
        </w:rPr>
        <w:t xml:space="preserve"> Sb., </w:t>
      </w:r>
      <w:r>
        <w:rPr>
          <w:sz w:val="22"/>
          <w:szCs w:val="22"/>
        </w:rPr>
        <w:t>občanský zákoník, (dále jen „občanský zákoník“),</w:t>
      </w:r>
      <w:r w:rsidRPr="002A18CB">
        <w:rPr>
          <w:sz w:val="22"/>
          <w:szCs w:val="22"/>
        </w:rPr>
        <w:t xml:space="preserve"> </w:t>
      </w:r>
      <w:r>
        <w:rPr>
          <w:sz w:val="22"/>
          <w:szCs w:val="22"/>
        </w:rPr>
        <w:t>ve znění pozdějších předpisů,</w:t>
      </w:r>
      <w:r w:rsidR="00DA4C7F">
        <w:rPr>
          <w:sz w:val="22"/>
          <w:szCs w:val="22"/>
        </w:rPr>
        <w:t xml:space="preserve"> </w:t>
      </w:r>
      <w:r w:rsidRPr="002A18CB">
        <w:rPr>
          <w:sz w:val="22"/>
          <w:szCs w:val="22"/>
        </w:rPr>
        <w:t>vydáv</w:t>
      </w:r>
      <w:r w:rsidR="00DA4C7F">
        <w:rPr>
          <w:sz w:val="22"/>
          <w:szCs w:val="22"/>
        </w:rPr>
        <w:t>ají</w:t>
      </w:r>
      <w:r w:rsidRPr="002A18CB">
        <w:rPr>
          <w:sz w:val="22"/>
          <w:szCs w:val="22"/>
        </w:rPr>
        <w:t xml:space="preserve"> t</w:t>
      </w:r>
      <w:r>
        <w:rPr>
          <w:sz w:val="22"/>
          <w:szCs w:val="22"/>
        </w:rPr>
        <w:t>ento předpis Rady Karlovarského kraje</w:t>
      </w:r>
      <w:r w:rsidR="00DA4C7F">
        <w:rPr>
          <w:sz w:val="22"/>
          <w:szCs w:val="22"/>
        </w:rPr>
        <w:t>, hejtmana Karlovarského kraje a ředitelky Krajského úřadu Karlovarského kraje</w:t>
      </w:r>
      <w:r w:rsidRPr="002A18CB">
        <w:rPr>
          <w:sz w:val="22"/>
          <w:szCs w:val="22"/>
        </w:rPr>
        <w:t xml:space="preserve"> pro </w:t>
      </w:r>
      <w:r>
        <w:rPr>
          <w:sz w:val="22"/>
          <w:szCs w:val="22"/>
        </w:rPr>
        <w:t>řešení případů odpovědnosti za škodu</w:t>
      </w:r>
      <w:r w:rsidRPr="002A18CB">
        <w:rPr>
          <w:sz w:val="22"/>
          <w:szCs w:val="22"/>
        </w:rPr>
        <w:t xml:space="preserve"> (dále jen „p</w:t>
      </w:r>
      <w:r>
        <w:rPr>
          <w:sz w:val="22"/>
          <w:szCs w:val="22"/>
        </w:rPr>
        <w:t>ředpis</w:t>
      </w:r>
      <w:r w:rsidRPr="002A18CB">
        <w:rPr>
          <w:sz w:val="22"/>
          <w:szCs w:val="22"/>
        </w:rPr>
        <w:t>“)</w:t>
      </w:r>
      <w:r>
        <w:rPr>
          <w:sz w:val="22"/>
          <w:szCs w:val="22"/>
        </w:rPr>
        <w:t>:</w:t>
      </w:r>
    </w:p>
    <w:p w:rsidR="00766EDA" w:rsidRDefault="00766EDA" w:rsidP="00766EDA">
      <w:pPr>
        <w:rPr>
          <w:bCs/>
          <w:kern w:val="32"/>
          <w:sz w:val="22"/>
          <w:szCs w:val="22"/>
        </w:rPr>
      </w:pPr>
    </w:p>
    <w:p w:rsidR="002B0B3B" w:rsidRDefault="002B0B3B" w:rsidP="00766EDA">
      <w:pPr>
        <w:rPr>
          <w:bCs/>
          <w:kern w:val="32"/>
          <w:sz w:val="22"/>
          <w:szCs w:val="22"/>
        </w:rPr>
      </w:pPr>
    </w:p>
    <w:p w:rsidR="00766EDA" w:rsidRPr="002A18CB" w:rsidRDefault="00766EDA" w:rsidP="00766EDA">
      <w:pPr>
        <w:rPr>
          <w:bCs/>
          <w:kern w:val="32"/>
          <w:sz w:val="22"/>
          <w:szCs w:val="22"/>
        </w:rPr>
      </w:pPr>
    </w:p>
    <w:p w:rsidR="00766EDA" w:rsidRPr="00372C7D" w:rsidRDefault="00766EDA" w:rsidP="00766EDA">
      <w:pPr>
        <w:jc w:val="center"/>
        <w:outlineLvl w:val="0"/>
        <w:rPr>
          <w:b/>
          <w:i/>
          <w:sz w:val="22"/>
          <w:szCs w:val="22"/>
        </w:rPr>
      </w:pPr>
      <w:bookmarkStart w:id="0" w:name="_Toc257810774"/>
      <w:bookmarkStart w:id="1" w:name="_Toc257810867"/>
      <w:bookmarkStart w:id="2" w:name="_Toc448146238"/>
      <w:bookmarkStart w:id="3" w:name="_Toc462655757"/>
      <w:bookmarkStart w:id="4" w:name="_Toc89843547"/>
      <w:r w:rsidRPr="00372C7D">
        <w:rPr>
          <w:b/>
          <w:i/>
          <w:sz w:val="22"/>
          <w:szCs w:val="22"/>
        </w:rPr>
        <w:t>Část první</w:t>
      </w:r>
      <w:bookmarkEnd w:id="0"/>
      <w:bookmarkEnd w:id="1"/>
      <w:bookmarkEnd w:id="2"/>
      <w:bookmarkEnd w:id="3"/>
      <w:bookmarkEnd w:id="4"/>
    </w:p>
    <w:p w:rsidR="00766EDA" w:rsidRPr="00372C7D" w:rsidRDefault="00766EDA" w:rsidP="004B1C3E">
      <w:pPr>
        <w:ind w:left="284"/>
        <w:jc w:val="center"/>
        <w:outlineLvl w:val="0"/>
        <w:rPr>
          <w:b/>
          <w:sz w:val="22"/>
          <w:szCs w:val="22"/>
        </w:rPr>
      </w:pPr>
      <w:bookmarkStart w:id="5" w:name="_Toc89843548"/>
      <w:r w:rsidRPr="00372C7D">
        <w:rPr>
          <w:b/>
          <w:sz w:val="22"/>
          <w:szCs w:val="22"/>
        </w:rPr>
        <w:t>ÚVODNÍ USTANOVENÍ</w:t>
      </w:r>
      <w:bookmarkEnd w:id="5"/>
    </w:p>
    <w:p w:rsidR="00766EDA" w:rsidRPr="002B0B3B" w:rsidRDefault="00766EDA" w:rsidP="00766EDA">
      <w:pPr>
        <w:jc w:val="center"/>
        <w:rPr>
          <w:color w:val="000000"/>
          <w:sz w:val="22"/>
          <w:szCs w:val="22"/>
        </w:rPr>
      </w:pPr>
    </w:p>
    <w:p w:rsidR="00766EDA" w:rsidRPr="002B0B3B" w:rsidRDefault="00766EDA" w:rsidP="00766EDA">
      <w:pPr>
        <w:jc w:val="center"/>
        <w:rPr>
          <w:color w:val="000000"/>
          <w:sz w:val="22"/>
          <w:szCs w:val="22"/>
        </w:rPr>
      </w:pPr>
    </w:p>
    <w:p w:rsidR="00766EDA" w:rsidRPr="00372C7D" w:rsidRDefault="00766EDA" w:rsidP="00766EDA">
      <w:pPr>
        <w:jc w:val="center"/>
        <w:outlineLvl w:val="2"/>
        <w:rPr>
          <w:b/>
          <w:sz w:val="22"/>
          <w:szCs w:val="22"/>
        </w:rPr>
      </w:pPr>
      <w:bookmarkStart w:id="6" w:name="_Toc257810776"/>
      <w:bookmarkStart w:id="7" w:name="_Toc257813595"/>
      <w:bookmarkStart w:id="8" w:name="_Toc448146239"/>
      <w:bookmarkStart w:id="9" w:name="_Toc462655758"/>
      <w:bookmarkStart w:id="10" w:name="_Toc89843549"/>
      <w:r w:rsidRPr="00372C7D">
        <w:rPr>
          <w:b/>
          <w:sz w:val="22"/>
          <w:szCs w:val="22"/>
        </w:rPr>
        <w:t>Čl. I.</w:t>
      </w:r>
      <w:bookmarkStart w:id="11" w:name="_Toc257810777"/>
      <w:bookmarkStart w:id="12" w:name="_Toc257810870"/>
      <w:bookmarkStart w:id="13" w:name="_Toc448146240"/>
      <w:bookmarkStart w:id="14" w:name="_Toc462655759"/>
      <w:bookmarkEnd w:id="6"/>
      <w:bookmarkEnd w:id="7"/>
      <w:bookmarkEnd w:id="8"/>
      <w:bookmarkEnd w:id="9"/>
      <w:r w:rsidR="002414DE">
        <w:rPr>
          <w:b/>
          <w:sz w:val="22"/>
          <w:szCs w:val="22"/>
        </w:rPr>
        <w:t xml:space="preserve"> </w:t>
      </w:r>
      <w:r>
        <w:rPr>
          <w:b/>
          <w:sz w:val="22"/>
          <w:szCs w:val="22"/>
        </w:rPr>
        <w:t>Ú</w:t>
      </w:r>
      <w:r w:rsidRPr="00372C7D">
        <w:rPr>
          <w:b/>
          <w:sz w:val="22"/>
          <w:szCs w:val="22"/>
        </w:rPr>
        <w:t>čel</w:t>
      </w:r>
      <w:bookmarkEnd w:id="11"/>
      <w:bookmarkEnd w:id="12"/>
      <w:bookmarkEnd w:id="13"/>
      <w:r>
        <w:rPr>
          <w:b/>
          <w:sz w:val="22"/>
          <w:szCs w:val="22"/>
        </w:rPr>
        <w:t xml:space="preserve"> úpravy</w:t>
      </w:r>
      <w:bookmarkEnd w:id="10"/>
      <w:bookmarkEnd w:id="14"/>
    </w:p>
    <w:p w:rsidR="00766EDA" w:rsidRDefault="00766EDA" w:rsidP="00766EDA">
      <w:pPr>
        <w:numPr>
          <w:ilvl w:val="0"/>
          <w:numId w:val="3"/>
        </w:numPr>
        <w:spacing w:before="240"/>
        <w:jc w:val="both"/>
        <w:rPr>
          <w:color w:val="000000"/>
          <w:sz w:val="22"/>
          <w:szCs w:val="22"/>
        </w:rPr>
      </w:pPr>
      <w:r w:rsidRPr="002A18CB">
        <w:rPr>
          <w:rFonts w:cs="Tahoma"/>
          <w:bCs/>
          <w:iCs/>
          <w:sz w:val="22"/>
          <w:szCs w:val="22"/>
        </w:rPr>
        <w:t>T</w:t>
      </w:r>
      <w:r>
        <w:rPr>
          <w:rFonts w:cs="Tahoma"/>
          <w:bCs/>
          <w:iCs/>
          <w:sz w:val="22"/>
          <w:szCs w:val="22"/>
        </w:rPr>
        <w:t>ento předpis</w:t>
      </w:r>
      <w:r w:rsidRPr="002A18CB">
        <w:rPr>
          <w:rFonts w:cs="Tahoma"/>
          <w:bCs/>
          <w:iCs/>
          <w:sz w:val="22"/>
          <w:szCs w:val="22"/>
        </w:rPr>
        <w:t xml:space="preserve"> stanoví </w:t>
      </w:r>
      <w:r>
        <w:rPr>
          <w:rFonts w:cs="Tahoma"/>
          <w:bCs/>
          <w:iCs/>
          <w:sz w:val="22"/>
          <w:szCs w:val="22"/>
        </w:rPr>
        <w:t xml:space="preserve">závazný </w:t>
      </w:r>
      <w:r w:rsidRPr="002A18CB">
        <w:rPr>
          <w:rFonts w:cs="Tahoma"/>
          <w:bCs/>
          <w:iCs/>
          <w:sz w:val="22"/>
          <w:szCs w:val="22"/>
        </w:rPr>
        <w:t xml:space="preserve">postup </w:t>
      </w:r>
      <w:r>
        <w:rPr>
          <w:rFonts w:cs="Tahoma"/>
          <w:bCs/>
          <w:iCs/>
          <w:sz w:val="22"/>
          <w:szCs w:val="22"/>
        </w:rPr>
        <w:t xml:space="preserve">pro </w:t>
      </w:r>
      <w:r>
        <w:rPr>
          <w:color w:val="000000"/>
          <w:sz w:val="22"/>
          <w:szCs w:val="22"/>
        </w:rPr>
        <w:t>řešení případů odpovědnosti za škodu vzniklou Karlovarskému kraji (dále jen „zaměstnavatel“) nebo příspěvkové organizaci kraje (dále také jako „zaměstnavatel“ nebo „příspěvková organizace“) ve smyslu příslušných ustanovení zákoníku práce o</w:t>
      </w:r>
      <w:r w:rsidR="00275153">
        <w:rPr>
          <w:color w:val="000000"/>
          <w:sz w:val="22"/>
          <w:szCs w:val="22"/>
        </w:rPr>
        <w:t> </w:t>
      </w:r>
      <w:r>
        <w:rPr>
          <w:color w:val="000000"/>
          <w:sz w:val="22"/>
          <w:szCs w:val="22"/>
        </w:rPr>
        <w:t>náhradě škody</w:t>
      </w:r>
      <w:r>
        <w:rPr>
          <w:rStyle w:val="Znakapoznpodarou"/>
          <w:color w:val="000000"/>
          <w:sz w:val="22"/>
          <w:szCs w:val="22"/>
        </w:rPr>
        <w:footnoteReference w:id="1"/>
      </w:r>
      <w:r>
        <w:rPr>
          <w:color w:val="000000"/>
          <w:sz w:val="22"/>
          <w:szCs w:val="22"/>
        </w:rPr>
        <w:t>, jakož i dle občanského zákoníku</w:t>
      </w:r>
      <w:r w:rsidR="009B28B8" w:rsidRPr="009E6EAF">
        <w:rPr>
          <w:rStyle w:val="Znakapoznpodarou"/>
          <w:color w:val="000000"/>
          <w:sz w:val="22"/>
          <w:szCs w:val="22"/>
        </w:rPr>
        <w:footnoteReference w:id="2"/>
      </w:r>
      <w:r w:rsidR="00B83312">
        <w:rPr>
          <w:color w:val="000000"/>
          <w:sz w:val="22"/>
          <w:szCs w:val="22"/>
        </w:rPr>
        <w:t xml:space="preserve"> a pro zajištění rovného a nediskriminačního postupu při řešení obdobných případů</w:t>
      </w:r>
      <w:r w:rsidRPr="009E6EAF">
        <w:rPr>
          <w:color w:val="000000"/>
          <w:sz w:val="22"/>
          <w:szCs w:val="22"/>
        </w:rPr>
        <w:t>.</w:t>
      </w:r>
      <w:r>
        <w:rPr>
          <w:color w:val="000000"/>
          <w:sz w:val="22"/>
          <w:szCs w:val="22"/>
        </w:rPr>
        <w:t xml:space="preserve"> Tento předpis současně stanoví základní povinnosti při předcházení vzniku takovýchto škod.</w:t>
      </w:r>
      <w:r w:rsidRPr="00372C7D">
        <w:rPr>
          <w:color w:val="000000"/>
          <w:sz w:val="22"/>
          <w:szCs w:val="22"/>
        </w:rPr>
        <w:t xml:space="preserve"> </w:t>
      </w:r>
    </w:p>
    <w:p w:rsidR="00766EDA" w:rsidRDefault="00766EDA" w:rsidP="00766EDA">
      <w:pPr>
        <w:numPr>
          <w:ilvl w:val="0"/>
          <w:numId w:val="3"/>
        </w:numPr>
        <w:spacing w:before="240"/>
        <w:jc w:val="both"/>
        <w:rPr>
          <w:sz w:val="22"/>
          <w:szCs w:val="22"/>
        </w:rPr>
      </w:pPr>
      <w:r>
        <w:rPr>
          <w:color w:val="000000"/>
          <w:sz w:val="22"/>
          <w:szCs w:val="22"/>
        </w:rPr>
        <w:t>Podle tohoto předpisu se postupuje rovněž při řešení případů odpovědnosti za škodu vzniklou v důsledku porušení povinností zaměstnanců, a to v podobě poskytovatelem finanční podpory či</w:t>
      </w:r>
      <w:r w:rsidR="00275153">
        <w:rPr>
          <w:color w:val="000000"/>
          <w:sz w:val="22"/>
          <w:szCs w:val="22"/>
        </w:rPr>
        <w:t> </w:t>
      </w:r>
      <w:r>
        <w:rPr>
          <w:color w:val="000000"/>
          <w:sz w:val="22"/>
          <w:szCs w:val="22"/>
        </w:rPr>
        <w:t xml:space="preserve">kontrolním orgánem vyměřených finančních postihů souvisejících s projekty, </w:t>
      </w:r>
      <w:r w:rsidRPr="00372C7D">
        <w:rPr>
          <w:sz w:val="22"/>
          <w:szCs w:val="22"/>
        </w:rPr>
        <w:t xml:space="preserve">kdy </w:t>
      </w:r>
      <w:r>
        <w:rPr>
          <w:sz w:val="22"/>
          <w:szCs w:val="22"/>
        </w:rPr>
        <w:t>zaměstnavateli vznikne škoda</w:t>
      </w:r>
      <w:r w:rsidRPr="00372C7D">
        <w:rPr>
          <w:sz w:val="22"/>
          <w:szCs w:val="22"/>
        </w:rPr>
        <w:t>.</w:t>
      </w:r>
    </w:p>
    <w:p w:rsidR="00766EDA" w:rsidRPr="00372C7D" w:rsidRDefault="00766EDA" w:rsidP="00766EDA">
      <w:pPr>
        <w:numPr>
          <w:ilvl w:val="0"/>
          <w:numId w:val="3"/>
        </w:numPr>
        <w:spacing w:before="240"/>
        <w:jc w:val="both"/>
        <w:rPr>
          <w:sz w:val="22"/>
          <w:szCs w:val="22"/>
        </w:rPr>
      </w:pPr>
      <w:r>
        <w:rPr>
          <w:sz w:val="22"/>
          <w:szCs w:val="22"/>
        </w:rPr>
        <w:t>Tento předpis je závazný pro zaměstnance kraje zařazené do Krajského úřadu Karlovarského kraje (dále jen „krajský úřad“)</w:t>
      </w:r>
      <w:r w:rsidR="008133B9">
        <w:rPr>
          <w:sz w:val="22"/>
          <w:szCs w:val="22"/>
        </w:rPr>
        <w:t xml:space="preserve">, pro členy </w:t>
      </w:r>
      <w:r w:rsidR="005C67D2">
        <w:rPr>
          <w:sz w:val="22"/>
          <w:szCs w:val="22"/>
        </w:rPr>
        <w:t>Z</w:t>
      </w:r>
      <w:r w:rsidR="008133B9">
        <w:rPr>
          <w:sz w:val="22"/>
          <w:szCs w:val="22"/>
        </w:rPr>
        <w:t>astupitelstva Karlovarského kraje</w:t>
      </w:r>
      <w:r w:rsidR="005C67D2">
        <w:rPr>
          <w:sz w:val="22"/>
          <w:szCs w:val="22"/>
        </w:rPr>
        <w:t xml:space="preserve"> v souladu se zákonem o krajích</w:t>
      </w:r>
      <w:r w:rsidR="008133B9">
        <w:rPr>
          <w:rStyle w:val="Znakapoznpodarou"/>
          <w:sz w:val="22"/>
          <w:szCs w:val="22"/>
        </w:rPr>
        <w:footnoteReference w:id="3"/>
      </w:r>
      <w:r w:rsidR="008133B9">
        <w:rPr>
          <w:sz w:val="22"/>
          <w:szCs w:val="22"/>
        </w:rPr>
        <w:t xml:space="preserve"> (dále jen „člen zastupitelstva“)</w:t>
      </w:r>
      <w:r>
        <w:rPr>
          <w:sz w:val="22"/>
          <w:szCs w:val="22"/>
        </w:rPr>
        <w:t xml:space="preserve"> a pro příspěvkové organizace. Za dodržování předpisu u příspěvkové organizace zodpovídají ředitelé příspěvkových organizací.</w:t>
      </w:r>
    </w:p>
    <w:p w:rsidR="00766EDA" w:rsidRDefault="00766EDA" w:rsidP="00766EDA">
      <w:pPr>
        <w:outlineLvl w:val="2"/>
        <w:rPr>
          <w:b/>
          <w:sz w:val="22"/>
          <w:szCs w:val="22"/>
        </w:rPr>
      </w:pPr>
      <w:bookmarkStart w:id="15" w:name="_Toc257810778"/>
      <w:bookmarkStart w:id="16" w:name="_Toc257810871"/>
      <w:bookmarkStart w:id="17" w:name="_Toc257813597"/>
      <w:bookmarkStart w:id="18" w:name="_Toc448146241"/>
    </w:p>
    <w:p w:rsidR="00766EDA" w:rsidRDefault="00766EDA" w:rsidP="00766EDA">
      <w:pPr>
        <w:outlineLvl w:val="2"/>
        <w:rPr>
          <w:b/>
          <w:sz w:val="22"/>
          <w:szCs w:val="22"/>
        </w:rPr>
      </w:pPr>
    </w:p>
    <w:p w:rsidR="00766EDA" w:rsidRPr="00372C7D" w:rsidRDefault="00766EDA" w:rsidP="00076F8D">
      <w:pPr>
        <w:jc w:val="center"/>
        <w:outlineLvl w:val="2"/>
        <w:rPr>
          <w:b/>
          <w:bCs/>
          <w:sz w:val="22"/>
          <w:szCs w:val="22"/>
        </w:rPr>
      </w:pPr>
      <w:bookmarkStart w:id="19" w:name="_Toc462655760"/>
      <w:bookmarkStart w:id="20" w:name="_Toc89843550"/>
      <w:r w:rsidRPr="00372C7D">
        <w:rPr>
          <w:b/>
          <w:sz w:val="22"/>
          <w:szCs w:val="22"/>
        </w:rPr>
        <w:t>Čl. II.</w:t>
      </w:r>
      <w:bookmarkEnd w:id="15"/>
      <w:bookmarkEnd w:id="16"/>
      <w:bookmarkEnd w:id="17"/>
      <w:bookmarkEnd w:id="18"/>
      <w:bookmarkEnd w:id="19"/>
      <w:r w:rsidR="00076F8D">
        <w:rPr>
          <w:b/>
          <w:sz w:val="22"/>
          <w:szCs w:val="22"/>
        </w:rPr>
        <w:t xml:space="preserve"> </w:t>
      </w:r>
      <w:r w:rsidRPr="00372C7D">
        <w:rPr>
          <w:b/>
          <w:bCs/>
          <w:sz w:val="22"/>
          <w:szCs w:val="22"/>
        </w:rPr>
        <w:t>Výklad některých pojmů</w:t>
      </w:r>
      <w:bookmarkEnd w:id="20"/>
    </w:p>
    <w:p w:rsidR="00766EDA" w:rsidRDefault="00766EDA" w:rsidP="00766EDA">
      <w:pPr>
        <w:numPr>
          <w:ilvl w:val="0"/>
          <w:numId w:val="4"/>
        </w:numPr>
        <w:spacing w:before="240"/>
        <w:jc w:val="both"/>
        <w:rPr>
          <w:sz w:val="22"/>
          <w:szCs w:val="22"/>
        </w:rPr>
      </w:pPr>
      <w:r w:rsidRPr="00BE3C7D">
        <w:rPr>
          <w:i/>
          <w:sz w:val="22"/>
          <w:szCs w:val="22"/>
        </w:rPr>
        <w:t xml:space="preserve">Škodou </w:t>
      </w:r>
      <w:r w:rsidRPr="00BE3C7D">
        <w:rPr>
          <w:sz w:val="22"/>
          <w:szCs w:val="22"/>
        </w:rPr>
        <w:t>je pro účely tohoto předpisu penězi vyčíslitelná ztráta na jmění</w:t>
      </w:r>
      <w:r w:rsidR="00183049" w:rsidRPr="00BE3C7D">
        <w:rPr>
          <w:sz w:val="22"/>
          <w:szCs w:val="22"/>
        </w:rPr>
        <w:t>, tj</w:t>
      </w:r>
      <w:r w:rsidRPr="00BE3C7D">
        <w:rPr>
          <w:sz w:val="22"/>
          <w:szCs w:val="22"/>
        </w:rPr>
        <w:t xml:space="preserve">. majetková újma, která je objektivně vyjádřitelná penězi a napravitelná poskytnutím majetkového plnění, zejména poskytnutím peněz k uvedení věci do předešlého stavu. </w:t>
      </w:r>
      <w:r w:rsidRPr="00BE3C7D">
        <w:rPr>
          <w:i/>
          <w:sz w:val="22"/>
          <w:szCs w:val="22"/>
        </w:rPr>
        <w:t xml:space="preserve">Škodou </w:t>
      </w:r>
      <w:r w:rsidRPr="00BE3C7D">
        <w:rPr>
          <w:sz w:val="22"/>
          <w:szCs w:val="22"/>
        </w:rPr>
        <w:t xml:space="preserve">se rozumí nejen snížení majetku (aktiv) zaměstnavatele, ale také například zvětšení jeho dluhů (pasiv). </w:t>
      </w:r>
      <w:r w:rsidRPr="00BE3C7D">
        <w:rPr>
          <w:i/>
          <w:sz w:val="22"/>
          <w:szCs w:val="22"/>
        </w:rPr>
        <w:t>Škodou</w:t>
      </w:r>
      <w:r w:rsidRPr="00BE3C7D">
        <w:rPr>
          <w:sz w:val="22"/>
          <w:szCs w:val="22"/>
        </w:rPr>
        <w:t xml:space="preserve"> se ve smyslu tohoto předpisu rozumí také ušlý zisk, tj. újma spočívající v tom, že u poškozeného nedojde v důsledku škodné události k rozmnožení majetkových hodnot, ač se tak dalo očekávat s ohledem na pravidelný běh věcí. </w:t>
      </w:r>
      <w:r w:rsidRPr="00BE3C7D">
        <w:rPr>
          <w:i/>
          <w:sz w:val="22"/>
          <w:szCs w:val="22"/>
        </w:rPr>
        <w:t xml:space="preserve">Škodou </w:t>
      </w:r>
      <w:r w:rsidRPr="00BE3C7D">
        <w:rPr>
          <w:sz w:val="22"/>
          <w:szCs w:val="22"/>
        </w:rPr>
        <w:t>je ve smyslu tohoto předpisu rovněž konečná výše úhrady sankce, v případě korekce konečná výše krácení dotace (konečná výše přesunu způsobilých výdajů projektu do nezpůsobilých výdajů).</w:t>
      </w:r>
      <w:r w:rsidR="009D5A10" w:rsidRPr="00BE3C7D">
        <w:rPr>
          <w:sz w:val="22"/>
          <w:szCs w:val="22"/>
        </w:rPr>
        <w:t xml:space="preserve"> </w:t>
      </w:r>
    </w:p>
    <w:p w:rsidR="00361F6B" w:rsidRPr="00361F6B" w:rsidRDefault="00361F6B" w:rsidP="00766EDA">
      <w:pPr>
        <w:numPr>
          <w:ilvl w:val="0"/>
          <w:numId w:val="4"/>
        </w:numPr>
        <w:spacing w:before="240"/>
        <w:jc w:val="both"/>
        <w:rPr>
          <w:sz w:val="22"/>
          <w:szCs w:val="22"/>
        </w:rPr>
      </w:pPr>
      <w:r>
        <w:rPr>
          <w:i/>
          <w:sz w:val="22"/>
          <w:szCs w:val="22"/>
        </w:rPr>
        <w:t xml:space="preserve">Zaměstnancem </w:t>
      </w:r>
      <w:r w:rsidRPr="00361F6B">
        <w:rPr>
          <w:sz w:val="22"/>
          <w:szCs w:val="22"/>
        </w:rPr>
        <w:t xml:space="preserve">je </w:t>
      </w:r>
      <w:r w:rsidR="0096340E">
        <w:rPr>
          <w:sz w:val="22"/>
          <w:szCs w:val="22"/>
        </w:rPr>
        <w:t xml:space="preserve">ve smyslu tohoto předpisu </w:t>
      </w:r>
      <w:r w:rsidRPr="00361F6B">
        <w:rPr>
          <w:sz w:val="22"/>
          <w:szCs w:val="22"/>
        </w:rPr>
        <w:t>zaměstnanec kraje zařazený do krajského úřadu a člen zastupitelstva</w:t>
      </w:r>
      <w:r w:rsidR="0096340E">
        <w:rPr>
          <w:sz w:val="22"/>
          <w:szCs w:val="22"/>
        </w:rPr>
        <w:t xml:space="preserve"> v souvislosti s výkonem funkce</w:t>
      </w:r>
      <w:r>
        <w:rPr>
          <w:sz w:val="22"/>
          <w:szCs w:val="22"/>
        </w:rPr>
        <w:t>.</w:t>
      </w:r>
      <w:r w:rsidRPr="00361F6B">
        <w:rPr>
          <w:sz w:val="22"/>
          <w:szCs w:val="22"/>
        </w:rPr>
        <w:t xml:space="preserve"> </w:t>
      </w:r>
    </w:p>
    <w:p w:rsidR="00F3189F" w:rsidRPr="00BE3C7D" w:rsidRDefault="00F3189F" w:rsidP="00766EDA">
      <w:pPr>
        <w:numPr>
          <w:ilvl w:val="0"/>
          <w:numId w:val="4"/>
        </w:numPr>
        <w:spacing w:before="240"/>
        <w:jc w:val="both"/>
        <w:rPr>
          <w:sz w:val="22"/>
          <w:szCs w:val="22"/>
        </w:rPr>
      </w:pPr>
      <w:r w:rsidRPr="00BE3C7D">
        <w:rPr>
          <w:i/>
          <w:sz w:val="22"/>
          <w:szCs w:val="22"/>
        </w:rPr>
        <w:t>Škodou způsobenou zaměstnancem je škoda</w:t>
      </w:r>
      <w:r w:rsidRPr="00BE3C7D">
        <w:rPr>
          <w:sz w:val="22"/>
          <w:szCs w:val="22"/>
        </w:rPr>
        <w:t>, která vznikla zaměstnavateli v důsledku zaměstnancem zaviněného porušení povinností při plnění pracovních úkolů nebo v přímé souvislosti s nimi nebo úmyslným jednáním proti dobrým mravům, např. ztrátou či poškozením zařízení, nástrojů či pomůcek svěřených zaměstnancům na písemné potvrzení, havárií na služebním motorovém vozidle, udělením sankce (např. odvod za porušení rozpočtové kázně či penále za prodlení s odvodem za porušení rozpočtové kázně,</w:t>
      </w:r>
      <w:r w:rsidRPr="00BE3C7D">
        <w:rPr>
          <w:i/>
          <w:sz w:val="22"/>
          <w:szCs w:val="22"/>
        </w:rPr>
        <w:t xml:space="preserve"> </w:t>
      </w:r>
      <w:r w:rsidRPr="00BE3C7D">
        <w:rPr>
          <w:sz w:val="22"/>
          <w:szCs w:val="22"/>
        </w:rPr>
        <w:t>náhrada škody ze soudních sporů, regresní úhrada škody za nesprávný úřední postup či nezákonné rozhodnutí a další).</w:t>
      </w:r>
    </w:p>
    <w:p w:rsidR="00766EDA" w:rsidRDefault="00766EDA" w:rsidP="00766EDA">
      <w:pPr>
        <w:numPr>
          <w:ilvl w:val="0"/>
          <w:numId w:val="4"/>
        </w:numPr>
        <w:spacing w:before="240"/>
        <w:jc w:val="both"/>
        <w:rPr>
          <w:sz w:val="22"/>
          <w:szCs w:val="22"/>
        </w:rPr>
      </w:pPr>
      <w:r w:rsidRPr="00F1591F">
        <w:rPr>
          <w:i/>
          <w:sz w:val="22"/>
          <w:szCs w:val="22"/>
        </w:rPr>
        <w:t>Právem na náhradu škody</w:t>
      </w:r>
      <w:r>
        <w:rPr>
          <w:sz w:val="22"/>
          <w:szCs w:val="22"/>
        </w:rPr>
        <w:t xml:space="preserve"> je především právo na uvedení záležitosti do předešlého stavu, popřípadě právo na náhradu majetkové újmy v penězích. </w:t>
      </w:r>
    </w:p>
    <w:p w:rsidR="00766EDA" w:rsidRDefault="00766EDA" w:rsidP="00766EDA">
      <w:pPr>
        <w:numPr>
          <w:ilvl w:val="0"/>
          <w:numId w:val="4"/>
        </w:numPr>
        <w:spacing w:before="240"/>
        <w:jc w:val="both"/>
        <w:rPr>
          <w:sz w:val="22"/>
          <w:szCs w:val="22"/>
        </w:rPr>
      </w:pPr>
      <w:r>
        <w:rPr>
          <w:i/>
          <w:sz w:val="22"/>
          <w:szCs w:val="22"/>
        </w:rPr>
        <w:t xml:space="preserve">Rozsahem náhrady škody </w:t>
      </w:r>
      <w:r w:rsidRPr="00726724">
        <w:rPr>
          <w:sz w:val="22"/>
          <w:szCs w:val="22"/>
        </w:rPr>
        <w:t>je pro účely tohoto předpisu rozdíl stavu majetku</w:t>
      </w:r>
      <w:r>
        <w:rPr>
          <w:sz w:val="22"/>
          <w:szCs w:val="22"/>
        </w:rPr>
        <w:t xml:space="preserve"> nebo dluhu</w:t>
      </w:r>
      <w:r w:rsidRPr="00726724">
        <w:rPr>
          <w:sz w:val="22"/>
          <w:szCs w:val="22"/>
        </w:rPr>
        <w:t xml:space="preserve">, který měl nebo mohl mít </w:t>
      </w:r>
      <w:r>
        <w:rPr>
          <w:sz w:val="22"/>
          <w:szCs w:val="22"/>
        </w:rPr>
        <w:t xml:space="preserve">zaměstnavatel </w:t>
      </w:r>
      <w:r w:rsidRPr="00726724">
        <w:rPr>
          <w:sz w:val="22"/>
          <w:szCs w:val="22"/>
        </w:rPr>
        <w:t>nebýt škodné události a stavem, který nastal na základě</w:t>
      </w:r>
      <w:r>
        <w:rPr>
          <w:sz w:val="22"/>
          <w:szCs w:val="22"/>
        </w:rPr>
        <w:t xml:space="preserve"> porušení povinnosti zaměstnance při plnění pracovních úkolů nebo v přímé souvislosti s nimi, na základě</w:t>
      </w:r>
      <w:r w:rsidRPr="00726724">
        <w:rPr>
          <w:sz w:val="22"/>
          <w:szCs w:val="22"/>
        </w:rPr>
        <w:t xml:space="preserve"> protiprávního jednání</w:t>
      </w:r>
      <w:r>
        <w:rPr>
          <w:sz w:val="22"/>
          <w:szCs w:val="22"/>
        </w:rPr>
        <w:t xml:space="preserve"> zaměstnance</w:t>
      </w:r>
      <w:r w:rsidRPr="00726724">
        <w:rPr>
          <w:sz w:val="22"/>
          <w:szCs w:val="22"/>
        </w:rPr>
        <w:t xml:space="preserve"> nebo škodné události přičitatelné </w:t>
      </w:r>
      <w:r>
        <w:rPr>
          <w:sz w:val="22"/>
          <w:szCs w:val="22"/>
        </w:rPr>
        <w:t>zaměstnanci</w:t>
      </w:r>
      <w:r w:rsidRPr="00726724">
        <w:rPr>
          <w:sz w:val="22"/>
          <w:szCs w:val="22"/>
        </w:rPr>
        <w:t>.</w:t>
      </w:r>
    </w:p>
    <w:p w:rsidR="00766EDA" w:rsidRPr="00BE3C7D" w:rsidRDefault="00766EDA" w:rsidP="00766EDA">
      <w:pPr>
        <w:numPr>
          <w:ilvl w:val="0"/>
          <w:numId w:val="4"/>
        </w:numPr>
        <w:spacing w:before="240"/>
        <w:jc w:val="both"/>
        <w:rPr>
          <w:sz w:val="22"/>
          <w:szCs w:val="22"/>
        </w:rPr>
      </w:pPr>
      <w:r w:rsidRPr="00BE3C7D">
        <w:rPr>
          <w:i/>
          <w:sz w:val="22"/>
          <w:szCs w:val="22"/>
        </w:rPr>
        <w:t xml:space="preserve">Škodním případem </w:t>
      </w:r>
      <w:r w:rsidRPr="00BE3C7D">
        <w:rPr>
          <w:sz w:val="22"/>
          <w:szCs w:val="22"/>
        </w:rPr>
        <w:t>je ve smyslu tohoto předpisu takový případ, kdy zaměstnavateli vznikne škoda</w:t>
      </w:r>
      <w:r w:rsidR="00F3189F" w:rsidRPr="00BE3C7D">
        <w:rPr>
          <w:sz w:val="22"/>
          <w:szCs w:val="22"/>
        </w:rPr>
        <w:t xml:space="preserve"> způsobená zaměstnancem</w:t>
      </w:r>
      <w:r w:rsidRPr="00BE3C7D">
        <w:rPr>
          <w:sz w:val="22"/>
          <w:szCs w:val="22"/>
        </w:rPr>
        <w:t xml:space="preserve">.  </w:t>
      </w:r>
    </w:p>
    <w:p w:rsidR="00766EDA" w:rsidRPr="00BE3C7D" w:rsidRDefault="00766EDA" w:rsidP="00766EDA">
      <w:pPr>
        <w:numPr>
          <w:ilvl w:val="0"/>
          <w:numId w:val="4"/>
        </w:numPr>
        <w:spacing w:before="240"/>
        <w:jc w:val="both"/>
        <w:rPr>
          <w:sz w:val="22"/>
          <w:szCs w:val="22"/>
        </w:rPr>
      </w:pPr>
      <w:r w:rsidRPr="00BE3C7D">
        <w:rPr>
          <w:i/>
          <w:iCs/>
          <w:sz w:val="22"/>
          <w:szCs w:val="22"/>
        </w:rPr>
        <w:t>Finančním postihem</w:t>
      </w:r>
      <w:r w:rsidRPr="00BE3C7D">
        <w:rPr>
          <w:sz w:val="22"/>
          <w:szCs w:val="22"/>
        </w:rPr>
        <w:t xml:space="preserve"> </w:t>
      </w:r>
      <w:r w:rsidRPr="00BE3C7D">
        <w:rPr>
          <w:i/>
          <w:sz w:val="22"/>
          <w:szCs w:val="22"/>
        </w:rPr>
        <w:t>souvisejícím s projektem</w:t>
      </w:r>
      <w:r w:rsidRPr="00BE3C7D">
        <w:rPr>
          <w:sz w:val="22"/>
          <w:szCs w:val="22"/>
        </w:rPr>
        <w:t xml:space="preserve"> je ve smyslu tohoto předpisu zejména korekce dotace, tj.</w:t>
      </w:r>
      <w:r w:rsidR="00275153">
        <w:rPr>
          <w:sz w:val="22"/>
          <w:szCs w:val="22"/>
        </w:rPr>
        <w:t> </w:t>
      </w:r>
      <w:r w:rsidRPr="00BE3C7D">
        <w:rPr>
          <w:sz w:val="22"/>
          <w:szCs w:val="22"/>
        </w:rPr>
        <w:t>přesun způsobilých výdajů projektu do nezpůsobilých výdajů projektu, uhrazená výzva k vrácení dotace nebo její části, pravomocný platební výměr na odvod za porušení rozpočtové kázně či na penále za prodlení s odvodem za porušení rozpočtové kázně nebo pokuta stanovená Úřadem pro ochranu hospodářské soutěže.</w:t>
      </w:r>
    </w:p>
    <w:p w:rsidR="00766EDA" w:rsidRPr="00BE3C7D" w:rsidRDefault="00766EDA" w:rsidP="00766EDA">
      <w:pPr>
        <w:numPr>
          <w:ilvl w:val="0"/>
          <w:numId w:val="4"/>
        </w:numPr>
        <w:spacing w:before="240"/>
        <w:jc w:val="both"/>
        <w:rPr>
          <w:sz w:val="22"/>
          <w:szCs w:val="22"/>
        </w:rPr>
      </w:pPr>
      <w:r w:rsidRPr="00BE3C7D">
        <w:rPr>
          <w:i/>
          <w:iCs/>
          <w:sz w:val="22"/>
          <w:szCs w:val="22"/>
        </w:rPr>
        <w:t xml:space="preserve">Rozhodným okamžikem </w:t>
      </w:r>
      <w:r w:rsidRPr="00BE3C7D">
        <w:rPr>
          <w:iCs/>
          <w:sz w:val="22"/>
          <w:szCs w:val="22"/>
        </w:rPr>
        <w:t>je pro účely tohoto předpisu okamžik, kdy zaměstnavateli vznikne škoda</w:t>
      </w:r>
      <w:r w:rsidR="00F3189F" w:rsidRPr="00BE3C7D">
        <w:rPr>
          <w:iCs/>
          <w:sz w:val="22"/>
          <w:szCs w:val="22"/>
        </w:rPr>
        <w:t xml:space="preserve"> způsobená zaměstnancem</w:t>
      </w:r>
      <w:r w:rsidRPr="00BE3C7D">
        <w:rPr>
          <w:iCs/>
          <w:sz w:val="22"/>
          <w:szCs w:val="22"/>
        </w:rPr>
        <w:t>. V případě finančních postihů souvisejících s projekty je rozhodným okamžikem vzniku škody okamžik nabytí právní moci sankce, případně závěrečné proplacení zkrácené dotace od poskytovatele finanční podpory bez další obrany sporným řízením z veřejnoprávní smlouvy, správní či soudní žalobou, kasační stížností nebo v případě ukončeného řízení ve věci sporného řízení, správní žaloby, kasační stížnosti.</w:t>
      </w:r>
    </w:p>
    <w:p w:rsidR="00766EDA" w:rsidRDefault="00766EDA" w:rsidP="00766EDA">
      <w:pPr>
        <w:jc w:val="both"/>
        <w:rPr>
          <w:color w:val="000000"/>
          <w:sz w:val="22"/>
          <w:szCs w:val="22"/>
        </w:rPr>
      </w:pPr>
    </w:p>
    <w:p w:rsidR="00766EDA" w:rsidRPr="00372C7D" w:rsidRDefault="00766EDA" w:rsidP="00766EDA">
      <w:pPr>
        <w:jc w:val="both"/>
        <w:rPr>
          <w:color w:val="000000"/>
          <w:sz w:val="22"/>
          <w:szCs w:val="22"/>
        </w:rPr>
      </w:pPr>
    </w:p>
    <w:p w:rsidR="00766EDA" w:rsidRPr="00372C7D" w:rsidRDefault="00766EDA" w:rsidP="00766EDA">
      <w:pPr>
        <w:ind w:left="284"/>
        <w:jc w:val="center"/>
        <w:outlineLvl w:val="0"/>
        <w:rPr>
          <w:b/>
          <w:i/>
          <w:sz w:val="22"/>
          <w:szCs w:val="22"/>
        </w:rPr>
      </w:pPr>
      <w:bookmarkStart w:id="21" w:name="_Toc257810779"/>
      <w:bookmarkStart w:id="22" w:name="_Toc257810872"/>
      <w:bookmarkStart w:id="23" w:name="_Toc448146242"/>
      <w:bookmarkStart w:id="24" w:name="_Toc462655761"/>
      <w:bookmarkStart w:id="25" w:name="_Toc89843551"/>
      <w:r w:rsidRPr="00372C7D">
        <w:rPr>
          <w:b/>
          <w:i/>
          <w:sz w:val="22"/>
          <w:szCs w:val="22"/>
        </w:rPr>
        <w:t>Část druhá</w:t>
      </w:r>
      <w:bookmarkEnd w:id="21"/>
      <w:bookmarkEnd w:id="22"/>
      <w:bookmarkEnd w:id="23"/>
      <w:bookmarkEnd w:id="24"/>
      <w:bookmarkEnd w:id="25"/>
    </w:p>
    <w:p w:rsidR="00766EDA" w:rsidRDefault="00766EDA" w:rsidP="00766EDA">
      <w:pPr>
        <w:ind w:left="284"/>
        <w:jc w:val="center"/>
        <w:outlineLvl w:val="0"/>
        <w:rPr>
          <w:b/>
          <w:sz w:val="22"/>
          <w:szCs w:val="22"/>
        </w:rPr>
      </w:pPr>
      <w:bookmarkStart w:id="26" w:name="_Toc257972688"/>
      <w:bookmarkStart w:id="27" w:name="_Toc448146243"/>
      <w:bookmarkStart w:id="28" w:name="_Toc462655762"/>
      <w:bookmarkStart w:id="29" w:name="_Toc89843552"/>
      <w:r>
        <w:rPr>
          <w:b/>
          <w:sz w:val="22"/>
          <w:szCs w:val="22"/>
        </w:rPr>
        <w:t xml:space="preserve">OBECNÁ </w:t>
      </w:r>
      <w:bookmarkEnd w:id="26"/>
      <w:bookmarkEnd w:id="27"/>
      <w:r>
        <w:rPr>
          <w:b/>
          <w:sz w:val="22"/>
          <w:szCs w:val="22"/>
        </w:rPr>
        <w:t>USTANOVENÍ</w:t>
      </w:r>
      <w:bookmarkEnd w:id="28"/>
      <w:bookmarkEnd w:id="29"/>
    </w:p>
    <w:p w:rsidR="00766EDA" w:rsidRPr="00372C7D" w:rsidRDefault="00766EDA" w:rsidP="00766EDA">
      <w:pPr>
        <w:ind w:left="284"/>
        <w:jc w:val="center"/>
        <w:outlineLvl w:val="0"/>
        <w:rPr>
          <w:b/>
          <w:sz w:val="22"/>
          <w:szCs w:val="22"/>
        </w:rPr>
      </w:pPr>
    </w:p>
    <w:p w:rsidR="00766EDA" w:rsidRPr="00372C7D" w:rsidRDefault="00766EDA" w:rsidP="00766EDA">
      <w:pPr>
        <w:ind w:left="284"/>
        <w:jc w:val="center"/>
        <w:outlineLvl w:val="1"/>
        <w:rPr>
          <w:b/>
          <w:sz w:val="22"/>
          <w:szCs w:val="22"/>
        </w:rPr>
      </w:pPr>
      <w:bookmarkStart w:id="30" w:name="_Toc448146244"/>
      <w:bookmarkStart w:id="31" w:name="_Toc462655763"/>
      <w:bookmarkStart w:id="32" w:name="_Toc89843553"/>
      <w:r w:rsidRPr="00372C7D">
        <w:rPr>
          <w:b/>
          <w:sz w:val="22"/>
          <w:szCs w:val="22"/>
        </w:rPr>
        <w:t>Hlava první</w:t>
      </w:r>
      <w:bookmarkEnd w:id="30"/>
      <w:bookmarkEnd w:id="31"/>
      <w:bookmarkEnd w:id="32"/>
    </w:p>
    <w:p w:rsidR="00766EDA" w:rsidRPr="00372C7D" w:rsidRDefault="00766EDA" w:rsidP="00766EDA">
      <w:pPr>
        <w:ind w:left="284"/>
        <w:jc w:val="center"/>
        <w:outlineLvl w:val="1"/>
        <w:rPr>
          <w:b/>
          <w:sz w:val="22"/>
          <w:szCs w:val="22"/>
        </w:rPr>
      </w:pPr>
      <w:bookmarkStart w:id="33" w:name="_Toc462655764"/>
      <w:bookmarkStart w:id="34" w:name="_Toc89843554"/>
      <w:r>
        <w:rPr>
          <w:b/>
          <w:sz w:val="22"/>
          <w:szCs w:val="22"/>
        </w:rPr>
        <w:t xml:space="preserve">Společná ustanovení </w:t>
      </w:r>
      <w:bookmarkEnd w:id="33"/>
      <w:r>
        <w:rPr>
          <w:b/>
          <w:sz w:val="22"/>
          <w:szCs w:val="22"/>
        </w:rPr>
        <w:t>ke škodám</w:t>
      </w:r>
      <w:bookmarkEnd w:id="34"/>
    </w:p>
    <w:p w:rsidR="00766EDA" w:rsidRPr="00372C7D" w:rsidRDefault="00766EDA" w:rsidP="00766EDA">
      <w:pPr>
        <w:ind w:left="284"/>
        <w:jc w:val="center"/>
        <w:outlineLvl w:val="1"/>
        <w:rPr>
          <w:b/>
          <w:sz w:val="22"/>
          <w:szCs w:val="22"/>
        </w:rPr>
      </w:pPr>
    </w:p>
    <w:p w:rsidR="00766EDA" w:rsidRPr="00510A98" w:rsidRDefault="00766EDA" w:rsidP="00076F8D">
      <w:pPr>
        <w:ind w:left="284"/>
        <w:jc w:val="center"/>
        <w:outlineLvl w:val="2"/>
        <w:rPr>
          <w:b/>
          <w:sz w:val="22"/>
        </w:rPr>
      </w:pPr>
      <w:bookmarkStart w:id="35" w:name="_Toc257810780"/>
      <w:bookmarkStart w:id="36" w:name="_Toc257810873"/>
      <w:bookmarkStart w:id="37" w:name="_Toc448146246"/>
      <w:bookmarkStart w:id="38" w:name="_Toc462655765"/>
      <w:bookmarkStart w:id="39" w:name="_Toc89843555"/>
      <w:r w:rsidRPr="00372C7D">
        <w:rPr>
          <w:b/>
          <w:sz w:val="22"/>
          <w:szCs w:val="22"/>
        </w:rPr>
        <w:t>Čl. III.</w:t>
      </w:r>
      <w:bookmarkEnd w:id="35"/>
      <w:bookmarkEnd w:id="36"/>
      <w:bookmarkEnd w:id="37"/>
      <w:bookmarkEnd w:id="38"/>
      <w:r w:rsidR="00076F8D">
        <w:rPr>
          <w:b/>
          <w:sz w:val="22"/>
          <w:szCs w:val="22"/>
        </w:rPr>
        <w:t xml:space="preserve"> </w:t>
      </w:r>
      <w:r>
        <w:rPr>
          <w:b/>
          <w:sz w:val="22"/>
        </w:rPr>
        <w:t>Povinnosti zaměstnanců předcházet škodám</w:t>
      </w:r>
      <w:bookmarkEnd w:id="39"/>
    </w:p>
    <w:p w:rsidR="00766EDA" w:rsidRDefault="00766EDA" w:rsidP="00766EDA">
      <w:pPr>
        <w:numPr>
          <w:ilvl w:val="0"/>
          <w:numId w:val="6"/>
        </w:numPr>
        <w:spacing w:before="240"/>
        <w:jc w:val="both"/>
        <w:rPr>
          <w:sz w:val="22"/>
        </w:rPr>
      </w:pPr>
      <w:r w:rsidRPr="00510A98">
        <w:rPr>
          <w:sz w:val="22"/>
        </w:rPr>
        <w:t xml:space="preserve">Každý zaměstnanec je </w:t>
      </w:r>
      <w:r>
        <w:rPr>
          <w:sz w:val="22"/>
        </w:rPr>
        <w:t>povinen počínat si tak, aby nedocházelo k nedůvodné majetkové újmě či</w:t>
      </w:r>
      <w:r w:rsidR="00275153">
        <w:rPr>
          <w:sz w:val="22"/>
        </w:rPr>
        <w:t> </w:t>
      </w:r>
      <w:r>
        <w:rPr>
          <w:sz w:val="22"/>
        </w:rPr>
        <w:t>bezdůvodnému obohacení. V případě vzniku nemajetkové újmy bude postupováno v souladu s obecně závaznými právními předpisy, zejména občanským zákoníkem.</w:t>
      </w:r>
    </w:p>
    <w:p w:rsidR="00766EDA" w:rsidRPr="00510A98" w:rsidRDefault="00766EDA" w:rsidP="00766EDA">
      <w:pPr>
        <w:numPr>
          <w:ilvl w:val="0"/>
          <w:numId w:val="6"/>
        </w:numPr>
        <w:spacing w:before="240"/>
        <w:jc w:val="both"/>
        <w:rPr>
          <w:sz w:val="22"/>
        </w:rPr>
      </w:pPr>
      <w:r>
        <w:rPr>
          <w:sz w:val="22"/>
        </w:rPr>
        <w:t xml:space="preserve">Každý zaměstnanec, je dále </w:t>
      </w:r>
      <w:r w:rsidRPr="00510A98">
        <w:rPr>
          <w:sz w:val="22"/>
        </w:rPr>
        <w:t>povinen neprodleně</w:t>
      </w:r>
      <w:r>
        <w:rPr>
          <w:sz w:val="22"/>
        </w:rPr>
        <w:t xml:space="preserve"> písemně </w:t>
      </w:r>
      <w:r w:rsidR="00DB2107">
        <w:rPr>
          <w:sz w:val="22"/>
        </w:rPr>
        <w:t xml:space="preserve">prostřednictvím </w:t>
      </w:r>
      <w:r w:rsidR="00C75A8B">
        <w:rPr>
          <w:sz w:val="22"/>
        </w:rPr>
        <w:t xml:space="preserve">elektronické </w:t>
      </w:r>
      <w:r w:rsidR="00DB2107">
        <w:rPr>
          <w:sz w:val="22"/>
        </w:rPr>
        <w:t>spisové služby Athena</w:t>
      </w:r>
      <w:r w:rsidRPr="00510A98">
        <w:rPr>
          <w:sz w:val="22"/>
        </w:rPr>
        <w:t xml:space="preserve"> </w:t>
      </w:r>
      <w:r w:rsidR="004120A9">
        <w:rPr>
          <w:sz w:val="22"/>
        </w:rPr>
        <w:t xml:space="preserve">(dále jen „eSSL Athena“) </w:t>
      </w:r>
      <w:r w:rsidRPr="00510A98">
        <w:rPr>
          <w:sz w:val="22"/>
        </w:rPr>
        <w:t>ohlásit příslušnému nadřízenému vedoucímu zaměstnanci</w:t>
      </w:r>
      <w:r w:rsidR="00A61E3E">
        <w:rPr>
          <w:sz w:val="22"/>
        </w:rPr>
        <w:t xml:space="preserve"> </w:t>
      </w:r>
      <w:r w:rsidRPr="00510A98">
        <w:rPr>
          <w:sz w:val="22"/>
        </w:rPr>
        <w:t xml:space="preserve">jakýkoliv zjištěný nedostatek v pracovních podmínkách, jakoukoliv hrozbu vzniku škody, ať již na straně zaměstnavatele nebo zaměstnance, dále jakoukoliv škodu, kterou zaměstnanec způsobí zaměstnavateli nebo která zaměstnanci vznikne v souvislosti s plněním pracovních úkolů nebo v přímé souvislosti s ním, popř. jinou škodu související s činností zaměstnavatele, kterou zaměstnanec zjistí nebo o které se dozví. </w:t>
      </w:r>
    </w:p>
    <w:p w:rsidR="00766EDA" w:rsidRDefault="00766EDA" w:rsidP="00766EDA">
      <w:pPr>
        <w:numPr>
          <w:ilvl w:val="0"/>
          <w:numId w:val="6"/>
        </w:numPr>
        <w:spacing w:before="240"/>
        <w:jc w:val="both"/>
        <w:rPr>
          <w:sz w:val="22"/>
        </w:rPr>
      </w:pPr>
      <w:r>
        <w:rPr>
          <w:sz w:val="22"/>
        </w:rPr>
        <w:t xml:space="preserve">Pokud je </w:t>
      </w:r>
      <w:r w:rsidRPr="00510A98">
        <w:rPr>
          <w:sz w:val="22"/>
        </w:rPr>
        <w:t>k odvrácení škody</w:t>
      </w:r>
      <w:r>
        <w:rPr>
          <w:sz w:val="22"/>
        </w:rPr>
        <w:t xml:space="preserve"> hrozící zaměstnavateli neodkladně</w:t>
      </w:r>
      <w:r w:rsidRPr="00510A98">
        <w:rPr>
          <w:sz w:val="22"/>
        </w:rPr>
        <w:t xml:space="preserve"> třeba zákroku, je každý zaměstnanec povinen dle svých možností přiměřeným způsobem zakročit, pokud tím nevystaví vážnému ohrožení sebe nebo ostatní zaměstnance, popřípadě osoby blízké.</w:t>
      </w:r>
      <w:r w:rsidRPr="00510A98">
        <w:rPr>
          <w:sz w:val="22"/>
          <w:vertAlign w:val="superscript"/>
        </w:rPr>
        <w:footnoteReference w:id="4"/>
      </w:r>
      <w:r w:rsidRPr="00510A98">
        <w:rPr>
          <w:sz w:val="22"/>
        </w:rPr>
        <w:t xml:space="preserve">  </w:t>
      </w:r>
    </w:p>
    <w:p w:rsidR="00766EDA" w:rsidRPr="00510A98" w:rsidRDefault="00766EDA" w:rsidP="00766EDA">
      <w:pPr>
        <w:numPr>
          <w:ilvl w:val="0"/>
          <w:numId w:val="6"/>
        </w:numPr>
        <w:spacing w:before="240"/>
        <w:jc w:val="both"/>
        <w:rPr>
          <w:sz w:val="22"/>
        </w:rPr>
      </w:pPr>
      <w:r>
        <w:rPr>
          <w:sz w:val="22"/>
        </w:rPr>
        <w:t xml:space="preserve">Jestliže zaměstnanec zjistí, že nemá vytvořené potřebné pracovní podmínky, oznámí písemně </w:t>
      </w:r>
      <w:r w:rsidR="006230BE">
        <w:rPr>
          <w:sz w:val="22"/>
        </w:rPr>
        <w:t>prostřednictvím eSSL Athena</w:t>
      </w:r>
      <w:r w:rsidRPr="00510A98">
        <w:rPr>
          <w:sz w:val="22"/>
        </w:rPr>
        <w:t xml:space="preserve"> </w:t>
      </w:r>
      <w:r>
        <w:rPr>
          <w:sz w:val="22"/>
        </w:rPr>
        <w:t>tuto skutečnost bezodkladně nadřízenému vedoucímu zaměstnanci</w:t>
      </w:r>
      <w:r w:rsidR="00A61E3E">
        <w:rPr>
          <w:sz w:val="22"/>
        </w:rPr>
        <w:t>,</w:t>
      </w:r>
      <w:r w:rsidR="00A61E3E" w:rsidRPr="00A61E3E">
        <w:rPr>
          <w:sz w:val="22"/>
        </w:rPr>
        <w:t xml:space="preserve"> </w:t>
      </w:r>
      <w:r w:rsidR="00A61E3E">
        <w:rPr>
          <w:sz w:val="22"/>
        </w:rPr>
        <w:t>v případě členů zastupitelstva ředitelce krajského úřadu</w:t>
      </w:r>
      <w:r>
        <w:rPr>
          <w:sz w:val="22"/>
        </w:rPr>
        <w:t>.</w:t>
      </w:r>
    </w:p>
    <w:p w:rsidR="00766EDA" w:rsidRPr="00510A98" w:rsidRDefault="00766EDA" w:rsidP="00766EDA">
      <w:pPr>
        <w:numPr>
          <w:ilvl w:val="0"/>
          <w:numId w:val="6"/>
        </w:numPr>
        <w:spacing w:before="240"/>
        <w:jc w:val="both"/>
        <w:rPr>
          <w:sz w:val="22"/>
        </w:rPr>
      </w:pPr>
      <w:r w:rsidRPr="00510A98">
        <w:rPr>
          <w:sz w:val="22"/>
        </w:rPr>
        <w:t>Příslušný nadřízený vedoucí zaměstnanec, který byl informován o nedostatcích v pracovních podmínkách, o hrozící nebo vzniklé škodě, je povinen dle možností a v mezích své pravomoci, případně i ve spolupráci s jinými zaměstnanci, bezodkladně zajistit odstranění nedostatků v pracovních podmínkách a zabránění vzniku hrozící škody, dále zajistit prošetření příčin vzniku škody</w:t>
      </w:r>
      <w:r>
        <w:rPr>
          <w:sz w:val="22"/>
        </w:rPr>
        <w:t>,</w:t>
      </w:r>
      <w:r w:rsidRPr="00510A98">
        <w:rPr>
          <w:sz w:val="22"/>
        </w:rPr>
        <w:t xml:space="preserve"> a pokud možno</w:t>
      </w:r>
      <w:r>
        <w:rPr>
          <w:sz w:val="22"/>
        </w:rPr>
        <w:t>,</w:t>
      </w:r>
      <w:r w:rsidRPr="00510A98">
        <w:rPr>
          <w:sz w:val="22"/>
        </w:rPr>
        <w:t xml:space="preserve"> i likvidaci škody a v případech přesahujících rámec jeho pravomoci oznámit</w:t>
      </w:r>
      <w:r>
        <w:rPr>
          <w:sz w:val="22"/>
        </w:rPr>
        <w:t xml:space="preserve"> písemně</w:t>
      </w:r>
      <w:r w:rsidR="004120A9">
        <w:rPr>
          <w:sz w:val="22"/>
        </w:rPr>
        <w:t xml:space="preserve"> prostřednictvím eSSL Athena</w:t>
      </w:r>
      <w:r w:rsidRPr="00510A98">
        <w:rPr>
          <w:sz w:val="22"/>
        </w:rPr>
        <w:t xml:space="preserve"> hrozbu nebo vznik škody jemu nadřízenému zaměstnanci s návrhem odpovídajících opatření.</w:t>
      </w:r>
    </w:p>
    <w:p w:rsidR="00766EDA" w:rsidRPr="00766EDA" w:rsidRDefault="00766EDA" w:rsidP="00766EDA">
      <w:pPr>
        <w:outlineLvl w:val="2"/>
        <w:rPr>
          <w:sz w:val="22"/>
          <w:szCs w:val="22"/>
        </w:rPr>
      </w:pPr>
      <w:bookmarkStart w:id="40" w:name="_Toc257810781"/>
      <w:bookmarkStart w:id="41" w:name="_Toc257810874"/>
      <w:bookmarkStart w:id="42" w:name="_Toc448146248"/>
      <w:bookmarkStart w:id="43" w:name="_Toc462655766"/>
    </w:p>
    <w:p w:rsidR="00766EDA" w:rsidRPr="00766EDA" w:rsidRDefault="00766EDA" w:rsidP="00766EDA">
      <w:pPr>
        <w:outlineLvl w:val="2"/>
        <w:rPr>
          <w:sz w:val="22"/>
          <w:szCs w:val="22"/>
        </w:rPr>
      </w:pPr>
    </w:p>
    <w:p w:rsidR="00766EDA" w:rsidRPr="00372C7D" w:rsidRDefault="00766EDA" w:rsidP="00766EDA">
      <w:pPr>
        <w:jc w:val="center"/>
        <w:outlineLvl w:val="2"/>
        <w:rPr>
          <w:b/>
          <w:sz w:val="22"/>
          <w:szCs w:val="22"/>
        </w:rPr>
      </w:pPr>
      <w:bookmarkStart w:id="44" w:name="_Toc89843556"/>
      <w:r w:rsidRPr="00372C7D">
        <w:rPr>
          <w:b/>
          <w:sz w:val="22"/>
          <w:szCs w:val="22"/>
        </w:rPr>
        <w:t>Čl. IV.</w:t>
      </w:r>
      <w:bookmarkEnd w:id="40"/>
      <w:bookmarkEnd w:id="41"/>
      <w:bookmarkEnd w:id="42"/>
      <w:bookmarkEnd w:id="43"/>
      <w:r w:rsidR="00076F8D">
        <w:rPr>
          <w:b/>
          <w:sz w:val="22"/>
          <w:szCs w:val="22"/>
        </w:rPr>
        <w:t xml:space="preserve"> </w:t>
      </w:r>
      <w:bookmarkStart w:id="45" w:name="_Toc462655767"/>
      <w:bookmarkStart w:id="46" w:name="_Toc448146249"/>
      <w:r>
        <w:rPr>
          <w:b/>
          <w:sz w:val="22"/>
          <w:szCs w:val="22"/>
        </w:rPr>
        <w:t>Povinnost zaměstnanců k náhradě škody</w:t>
      </w:r>
      <w:bookmarkEnd w:id="44"/>
      <w:bookmarkEnd w:id="45"/>
      <w:r>
        <w:rPr>
          <w:b/>
          <w:sz w:val="22"/>
          <w:szCs w:val="22"/>
        </w:rPr>
        <w:t xml:space="preserve"> </w:t>
      </w:r>
      <w:bookmarkEnd w:id="46"/>
      <w:r w:rsidRPr="00372C7D">
        <w:rPr>
          <w:b/>
          <w:sz w:val="22"/>
          <w:szCs w:val="22"/>
        </w:rPr>
        <w:t xml:space="preserve"> </w:t>
      </w:r>
    </w:p>
    <w:p w:rsidR="00766EDA" w:rsidRPr="00FB3879" w:rsidRDefault="00766EDA" w:rsidP="00766EDA">
      <w:pPr>
        <w:numPr>
          <w:ilvl w:val="0"/>
          <w:numId w:val="7"/>
        </w:numPr>
        <w:spacing w:before="240"/>
        <w:jc w:val="both"/>
        <w:rPr>
          <w:sz w:val="22"/>
          <w:szCs w:val="22"/>
        </w:rPr>
      </w:pPr>
      <w:r w:rsidRPr="00FB3879">
        <w:rPr>
          <w:sz w:val="22"/>
          <w:szCs w:val="22"/>
        </w:rPr>
        <w:t xml:space="preserve">Každý zaměstnanec je povinen nahradit zaměstnavateli škodu, kterou mu způsobil zaviněným porušením povinností při plnění pracovních úkolů nebo v přímé souvislosti s ním. Za podmínek stanovených zákonem </w:t>
      </w:r>
      <w:r>
        <w:rPr>
          <w:sz w:val="22"/>
          <w:szCs w:val="22"/>
        </w:rPr>
        <w:t>může zaměstnavatel</w:t>
      </w:r>
      <w:r w:rsidRPr="00FB3879">
        <w:rPr>
          <w:sz w:val="22"/>
          <w:szCs w:val="22"/>
        </w:rPr>
        <w:t xml:space="preserve"> požadovat</w:t>
      </w:r>
      <w:r>
        <w:rPr>
          <w:sz w:val="22"/>
          <w:szCs w:val="22"/>
        </w:rPr>
        <w:t xml:space="preserve"> po zaměstnanci</w:t>
      </w:r>
      <w:r w:rsidRPr="00FB3879">
        <w:rPr>
          <w:sz w:val="22"/>
          <w:szCs w:val="22"/>
        </w:rPr>
        <w:t xml:space="preserve"> i náhradu jiné škody. Povinnost zaměstnance nahradit škodu se poměrně omezí, pokud byla škoda způsobena také porušením povinností ze strany zaměstnavatele. </w:t>
      </w:r>
    </w:p>
    <w:p w:rsidR="00766EDA" w:rsidRDefault="00766EDA" w:rsidP="00766EDA">
      <w:pPr>
        <w:numPr>
          <w:ilvl w:val="0"/>
          <w:numId w:val="7"/>
        </w:numPr>
        <w:spacing w:before="240"/>
        <w:jc w:val="both"/>
        <w:rPr>
          <w:sz w:val="22"/>
          <w:szCs w:val="22"/>
        </w:rPr>
      </w:pPr>
      <w:r>
        <w:rPr>
          <w:sz w:val="22"/>
          <w:szCs w:val="22"/>
        </w:rPr>
        <w:t>Každý zaměstnanec je dále povinen podílet se na náhradě škody způsobené zaměstnavateli, v případě, že</w:t>
      </w:r>
      <w:r w:rsidR="00B65B4F">
        <w:rPr>
          <w:sz w:val="22"/>
          <w:szCs w:val="22"/>
        </w:rPr>
        <w:t> </w:t>
      </w:r>
      <w:r w:rsidRPr="001A50B3">
        <w:rPr>
          <w:sz w:val="22"/>
          <w:szCs w:val="22"/>
        </w:rPr>
        <w:t>vědomě neupozornil nadřízeného vedoucího zaměstnance na škodu hrozící zaměstnavateli nebo nezakročil proti hrozící škodě, ačkoliv by tím bylo zabráněno bezprostřednímu vzniku</w:t>
      </w:r>
      <w:r>
        <w:rPr>
          <w:sz w:val="22"/>
          <w:szCs w:val="22"/>
        </w:rPr>
        <w:t xml:space="preserve"> škody, a</w:t>
      </w:r>
      <w:r w:rsidR="00B65B4F">
        <w:rPr>
          <w:sz w:val="22"/>
          <w:szCs w:val="22"/>
        </w:rPr>
        <w:t> </w:t>
      </w:r>
      <w:r>
        <w:rPr>
          <w:sz w:val="22"/>
          <w:szCs w:val="22"/>
        </w:rPr>
        <w:t>to</w:t>
      </w:r>
      <w:r w:rsidR="00B65B4F">
        <w:rPr>
          <w:sz w:val="22"/>
          <w:szCs w:val="22"/>
        </w:rPr>
        <w:t> </w:t>
      </w:r>
      <w:r>
        <w:rPr>
          <w:sz w:val="22"/>
          <w:szCs w:val="22"/>
        </w:rPr>
        <w:t>v rozsahu přiměřeném okolnostem případu, není-li možné škodu nahradit jinak.</w:t>
      </w:r>
    </w:p>
    <w:p w:rsidR="00766EDA" w:rsidRDefault="00766EDA" w:rsidP="00766EDA">
      <w:pPr>
        <w:numPr>
          <w:ilvl w:val="0"/>
          <w:numId w:val="7"/>
        </w:numPr>
        <w:spacing w:before="240"/>
        <w:jc w:val="both"/>
        <w:rPr>
          <w:sz w:val="22"/>
          <w:szCs w:val="22"/>
        </w:rPr>
      </w:pPr>
      <w:r>
        <w:rPr>
          <w:sz w:val="22"/>
          <w:szCs w:val="22"/>
        </w:rPr>
        <w:t>Každý zaměstnanec stižený duševní poruchou je povinen nahradit jím způsobenou škodu, pokud je</w:t>
      </w:r>
      <w:r w:rsidR="00B65B4F">
        <w:rPr>
          <w:sz w:val="22"/>
          <w:szCs w:val="22"/>
        </w:rPr>
        <w:t> </w:t>
      </w:r>
      <w:r>
        <w:rPr>
          <w:sz w:val="22"/>
          <w:szCs w:val="22"/>
        </w:rPr>
        <w:t>schopen ovládnout své jednání a posoudit jeho následky. Jestliže se zaměstnanec uvede vlastní vinou do takového stavu, že není schopen ovládnout své jednání či posoudit jeho následky, je povinen nahradit škodu, kterou v tomto stavu způsobil.</w:t>
      </w:r>
    </w:p>
    <w:p w:rsidR="00766EDA" w:rsidRDefault="00766EDA" w:rsidP="00766EDA">
      <w:pPr>
        <w:numPr>
          <w:ilvl w:val="0"/>
          <w:numId w:val="7"/>
        </w:numPr>
        <w:spacing w:before="240"/>
        <w:jc w:val="both"/>
        <w:rPr>
          <w:sz w:val="22"/>
          <w:szCs w:val="22"/>
        </w:rPr>
      </w:pPr>
      <w:r>
        <w:rPr>
          <w:sz w:val="22"/>
          <w:szCs w:val="22"/>
        </w:rPr>
        <w:t>Každý zaměstnanec, který způsobil škodu úmyslným jednáním proti dobrým mravům (např. jednáním nepoctivým, podvodným, atp.), je povinen ji nahradit.</w:t>
      </w:r>
    </w:p>
    <w:p w:rsidR="00766EDA" w:rsidRPr="00766EDA" w:rsidRDefault="00766EDA" w:rsidP="00766EDA">
      <w:pPr>
        <w:rPr>
          <w:sz w:val="22"/>
        </w:rPr>
      </w:pPr>
    </w:p>
    <w:p w:rsidR="00766EDA" w:rsidRPr="00766EDA" w:rsidRDefault="00766EDA" w:rsidP="00766EDA">
      <w:pPr>
        <w:rPr>
          <w:sz w:val="22"/>
        </w:rPr>
      </w:pPr>
    </w:p>
    <w:p w:rsidR="00766EDA" w:rsidRPr="00B74943" w:rsidRDefault="00766EDA" w:rsidP="00B74943">
      <w:pPr>
        <w:jc w:val="center"/>
        <w:outlineLvl w:val="2"/>
        <w:rPr>
          <w:b/>
          <w:sz w:val="22"/>
          <w:szCs w:val="22"/>
        </w:rPr>
      </w:pPr>
      <w:bookmarkStart w:id="47" w:name="_Toc89843557"/>
      <w:r w:rsidRPr="00B74943">
        <w:rPr>
          <w:b/>
          <w:sz w:val="22"/>
          <w:szCs w:val="22"/>
        </w:rPr>
        <w:t>Čl. V.</w:t>
      </w:r>
      <w:r w:rsidR="00076F8D" w:rsidRPr="00B74943">
        <w:rPr>
          <w:b/>
          <w:sz w:val="22"/>
          <w:szCs w:val="22"/>
        </w:rPr>
        <w:t xml:space="preserve"> </w:t>
      </w:r>
      <w:bookmarkStart w:id="48" w:name="_Toc462655768"/>
      <w:r w:rsidRPr="00B74943">
        <w:rPr>
          <w:b/>
          <w:sz w:val="22"/>
          <w:szCs w:val="22"/>
        </w:rPr>
        <w:t>Škoda vzniklá či způsobená zaměstnavateli</w:t>
      </w:r>
      <w:bookmarkEnd w:id="47"/>
      <w:bookmarkEnd w:id="48"/>
      <w:r w:rsidRPr="00B74943">
        <w:rPr>
          <w:b/>
          <w:sz w:val="22"/>
          <w:szCs w:val="22"/>
        </w:rPr>
        <w:t xml:space="preserve"> </w:t>
      </w:r>
    </w:p>
    <w:p w:rsidR="00766EDA" w:rsidRPr="00AD300A" w:rsidRDefault="00766EDA" w:rsidP="00766EDA">
      <w:pPr>
        <w:pStyle w:val="Odstavecseseznamem"/>
        <w:spacing w:before="240"/>
        <w:ind w:left="397"/>
        <w:jc w:val="both"/>
        <w:rPr>
          <w:sz w:val="22"/>
        </w:rPr>
      </w:pPr>
      <w:r w:rsidRPr="00AD300A">
        <w:rPr>
          <w:sz w:val="22"/>
        </w:rPr>
        <w:t xml:space="preserve">Za škodu vzniklou nebo způsobenou zaměstnavateli se ve smyslu tohoto předpisu považuje zejména škoda vzniklá nebo způsobená: </w:t>
      </w:r>
    </w:p>
    <w:p w:rsidR="00766EDA" w:rsidRPr="00510A98" w:rsidRDefault="00766EDA" w:rsidP="00766EDA">
      <w:pPr>
        <w:numPr>
          <w:ilvl w:val="1"/>
          <w:numId w:val="13"/>
        </w:numPr>
        <w:spacing w:before="120"/>
        <w:jc w:val="both"/>
        <w:rPr>
          <w:sz w:val="22"/>
        </w:rPr>
      </w:pPr>
      <w:r w:rsidRPr="00510A98">
        <w:rPr>
          <w:sz w:val="22"/>
        </w:rPr>
        <w:t>havár</w:t>
      </w:r>
      <w:r>
        <w:rPr>
          <w:sz w:val="22"/>
        </w:rPr>
        <w:t>ií provozního zařízení, požárem nebo</w:t>
      </w:r>
      <w:r w:rsidRPr="00510A98">
        <w:rPr>
          <w:sz w:val="22"/>
        </w:rPr>
        <w:t xml:space="preserve"> výbuchem,</w:t>
      </w:r>
    </w:p>
    <w:p w:rsidR="00766EDA" w:rsidRDefault="00766EDA" w:rsidP="00766EDA">
      <w:pPr>
        <w:numPr>
          <w:ilvl w:val="1"/>
          <w:numId w:val="13"/>
        </w:numPr>
        <w:spacing w:before="120"/>
        <w:jc w:val="both"/>
        <w:rPr>
          <w:sz w:val="22"/>
        </w:rPr>
      </w:pPr>
      <w:r w:rsidRPr="00510A98">
        <w:rPr>
          <w:sz w:val="22"/>
        </w:rPr>
        <w:t xml:space="preserve">zaplacením pokut, úroků z prodlení, </w:t>
      </w:r>
      <w:r>
        <w:rPr>
          <w:sz w:val="22"/>
        </w:rPr>
        <w:t xml:space="preserve">nákladů soudního či správního řízení, veškerých dalších </w:t>
      </w:r>
      <w:r w:rsidRPr="00510A98">
        <w:rPr>
          <w:sz w:val="22"/>
        </w:rPr>
        <w:t>nákladů vyplývajících z uzavřených smluvních vztahů nebo ze zvláštních právních předpisů</w:t>
      </w:r>
      <w:r>
        <w:rPr>
          <w:sz w:val="22"/>
        </w:rPr>
        <w:t>, jakož i</w:t>
      </w:r>
      <w:r w:rsidR="00B65B4F">
        <w:rPr>
          <w:sz w:val="22"/>
        </w:rPr>
        <w:t> </w:t>
      </w:r>
      <w:r>
        <w:rPr>
          <w:sz w:val="22"/>
        </w:rPr>
        <w:t>finančních postihů souvisejících s projekty</w:t>
      </w:r>
      <w:r w:rsidRPr="00510A98">
        <w:rPr>
          <w:sz w:val="22"/>
        </w:rPr>
        <w:t xml:space="preserve">, </w:t>
      </w:r>
      <w:r>
        <w:rPr>
          <w:sz w:val="22"/>
        </w:rPr>
        <w:t xml:space="preserve">atd., </w:t>
      </w:r>
    </w:p>
    <w:p w:rsidR="00766EDA" w:rsidRPr="00510A98" w:rsidRDefault="00766EDA" w:rsidP="00766EDA">
      <w:pPr>
        <w:numPr>
          <w:ilvl w:val="1"/>
          <w:numId w:val="13"/>
        </w:numPr>
        <w:spacing w:before="120"/>
        <w:jc w:val="both"/>
        <w:rPr>
          <w:sz w:val="22"/>
        </w:rPr>
      </w:pPr>
      <w:r>
        <w:rPr>
          <w:sz w:val="22"/>
        </w:rPr>
        <w:t>korekcí v rozhodný okamžik vzniku škody,</w:t>
      </w:r>
    </w:p>
    <w:p w:rsidR="00766EDA" w:rsidRPr="00510A98" w:rsidRDefault="00766EDA" w:rsidP="00766EDA">
      <w:pPr>
        <w:numPr>
          <w:ilvl w:val="1"/>
          <w:numId w:val="13"/>
        </w:numPr>
        <w:spacing w:before="120"/>
        <w:jc w:val="both"/>
        <w:rPr>
          <w:sz w:val="22"/>
        </w:rPr>
      </w:pPr>
      <w:r w:rsidRPr="00510A98">
        <w:rPr>
          <w:sz w:val="22"/>
        </w:rPr>
        <w:t xml:space="preserve">na budovách, svěřených pracovních pomůckách, ochranných pracovních prostředcích a jiných věcech zaměstnavatele, v důsledku nesplnění pracovních povinností nebo porušení předpisů k zajištění bezpečnosti a </w:t>
      </w:r>
      <w:r>
        <w:rPr>
          <w:sz w:val="22"/>
        </w:rPr>
        <w:t xml:space="preserve">ochrany </w:t>
      </w:r>
      <w:r w:rsidRPr="00510A98">
        <w:rPr>
          <w:sz w:val="22"/>
        </w:rPr>
        <w:t xml:space="preserve">zdraví při práci, </w:t>
      </w:r>
    </w:p>
    <w:p w:rsidR="00766EDA" w:rsidRPr="00510A98" w:rsidRDefault="00766EDA" w:rsidP="00766EDA">
      <w:pPr>
        <w:numPr>
          <w:ilvl w:val="1"/>
          <w:numId w:val="13"/>
        </w:numPr>
        <w:spacing w:before="120"/>
        <w:jc w:val="both"/>
        <w:rPr>
          <w:sz w:val="22"/>
        </w:rPr>
      </w:pPr>
      <w:r w:rsidRPr="00510A98">
        <w:rPr>
          <w:sz w:val="22"/>
        </w:rPr>
        <w:t xml:space="preserve">schodkem na hodnotách svěřených zaměstnancům na základě uzavřených dohod o </w:t>
      </w:r>
      <w:r>
        <w:rPr>
          <w:sz w:val="22"/>
        </w:rPr>
        <w:t>odpovědnosti k ochraně hodnot svěřených jim k vyúčtování</w:t>
      </w:r>
      <w:r w:rsidRPr="00510A98">
        <w:rPr>
          <w:sz w:val="22"/>
        </w:rPr>
        <w:t>,</w:t>
      </w:r>
    </w:p>
    <w:p w:rsidR="00766EDA" w:rsidRPr="00510A98" w:rsidRDefault="00766EDA" w:rsidP="00766EDA">
      <w:pPr>
        <w:numPr>
          <w:ilvl w:val="1"/>
          <w:numId w:val="13"/>
        </w:numPr>
        <w:spacing w:before="120"/>
        <w:jc w:val="both"/>
        <w:rPr>
          <w:sz w:val="22"/>
        </w:rPr>
      </w:pPr>
      <w:r w:rsidRPr="00510A98">
        <w:rPr>
          <w:sz w:val="22"/>
        </w:rPr>
        <w:t>ztrátou</w:t>
      </w:r>
      <w:r>
        <w:rPr>
          <w:sz w:val="22"/>
        </w:rPr>
        <w:t>, poškozením či odcizením</w:t>
      </w:r>
      <w:r w:rsidRPr="00510A98">
        <w:rPr>
          <w:sz w:val="22"/>
        </w:rPr>
        <w:t xml:space="preserve"> nástrojů, ochranných pracovních prostředků a jiných podobných </w:t>
      </w:r>
      <w:r>
        <w:rPr>
          <w:sz w:val="22"/>
        </w:rPr>
        <w:t>věcí svěřených zaměstnancům</w:t>
      </w:r>
      <w:r w:rsidRPr="00510A98">
        <w:rPr>
          <w:sz w:val="22"/>
        </w:rPr>
        <w:t xml:space="preserve"> na písemné potvrzení,</w:t>
      </w:r>
    </w:p>
    <w:p w:rsidR="00766EDA" w:rsidRPr="00510A98" w:rsidRDefault="00766EDA" w:rsidP="00766EDA">
      <w:pPr>
        <w:numPr>
          <w:ilvl w:val="1"/>
          <w:numId w:val="13"/>
        </w:numPr>
        <w:spacing w:before="120"/>
        <w:jc w:val="both"/>
        <w:rPr>
          <w:sz w:val="22"/>
        </w:rPr>
      </w:pPr>
      <w:r w:rsidRPr="00510A98">
        <w:rPr>
          <w:sz w:val="22"/>
        </w:rPr>
        <w:t>neoznámením hrozící škody a nezakročením k odvrácení škody ze strany zaměstnance,</w:t>
      </w:r>
    </w:p>
    <w:p w:rsidR="00275153" w:rsidRDefault="00766EDA" w:rsidP="00766EDA">
      <w:pPr>
        <w:numPr>
          <w:ilvl w:val="1"/>
          <w:numId w:val="13"/>
        </w:numPr>
        <w:spacing w:before="120"/>
        <w:jc w:val="both"/>
        <w:rPr>
          <w:sz w:val="22"/>
        </w:rPr>
      </w:pPr>
      <w:r w:rsidRPr="00510A98">
        <w:rPr>
          <w:sz w:val="22"/>
        </w:rPr>
        <w:t>úmyslným zničením nebo poškozením majetku zaměstnavatele nebo jinou úmyslnou trestnou činností zaměstnance.</w:t>
      </w:r>
    </w:p>
    <w:p w:rsidR="00766EDA" w:rsidRPr="00275153" w:rsidRDefault="00766EDA" w:rsidP="000B1F8C">
      <w:pPr>
        <w:spacing w:before="120"/>
        <w:ind w:left="397"/>
        <w:jc w:val="both"/>
        <w:rPr>
          <w:sz w:val="22"/>
        </w:rPr>
      </w:pPr>
    </w:p>
    <w:p w:rsidR="00766EDA" w:rsidRPr="00372C7D" w:rsidRDefault="00766EDA" w:rsidP="00766EDA">
      <w:pPr>
        <w:jc w:val="center"/>
        <w:outlineLvl w:val="2"/>
        <w:rPr>
          <w:b/>
          <w:sz w:val="22"/>
          <w:szCs w:val="22"/>
        </w:rPr>
      </w:pPr>
      <w:bookmarkStart w:id="49" w:name="_Toc257810783"/>
      <w:bookmarkStart w:id="50" w:name="_Toc257810876"/>
      <w:bookmarkStart w:id="51" w:name="_Toc448146252"/>
      <w:bookmarkStart w:id="52" w:name="_Toc462655769"/>
      <w:bookmarkStart w:id="53" w:name="_Toc89843558"/>
      <w:r w:rsidRPr="00372C7D">
        <w:rPr>
          <w:b/>
          <w:sz w:val="22"/>
          <w:szCs w:val="22"/>
        </w:rPr>
        <w:t>Čl. V</w:t>
      </w:r>
      <w:r>
        <w:rPr>
          <w:b/>
          <w:sz w:val="22"/>
          <w:szCs w:val="22"/>
        </w:rPr>
        <w:t>I</w:t>
      </w:r>
      <w:r w:rsidRPr="00372C7D">
        <w:rPr>
          <w:b/>
          <w:sz w:val="22"/>
          <w:szCs w:val="22"/>
        </w:rPr>
        <w:t>.</w:t>
      </w:r>
      <w:bookmarkEnd w:id="49"/>
      <w:bookmarkEnd w:id="50"/>
      <w:bookmarkEnd w:id="51"/>
      <w:bookmarkEnd w:id="52"/>
      <w:r w:rsidR="00076F8D">
        <w:rPr>
          <w:b/>
          <w:sz w:val="22"/>
          <w:szCs w:val="22"/>
        </w:rPr>
        <w:t xml:space="preserve"> </w:t>
      </w:r>
      <w:bookmarkStart w:id="54" w:name="_Toc448146253"/>
      <w:bookmarkStart w:id="55" w:name="_Toc462655770"/>
      <w:r>
        <w:rPr>
          <w:b/>
          <w:sz w:val="22"/>
          <w:szCs w:val="22"/>
        </w:rPr>
        <w:t>Rozsah a způsob náhrady škody</w:t>
      </w:r>
      <w:bookmarkEnd w:id="53"/>
      <w:bookmarkEnd w:id="54"/>
      <w:bookmarkEnd w:id="55"/>
    </w:p>
    <w:p w:rsidR="00766EDA" w:rsidRPr="00510A98" w:rsidRDefault="00766EDA" w:rsidP="00766EDA">
      <w:pPr>
        <w:widowControl w:val="0"/>
        <w:numPr>
          <w:ilvl w:val="0"/>
          <w:numId w:val="8"/>
        </w:numPr>
        <w:spacing w:before="240"/>
        <w:jc w:val="both"/>
        <w:rPr>
          <w:sz w:val="22"/>
        </w:rPr>
      </w:pPr>
      <w:r w:rsidRPr="00510A98">
        <w:rPr>
          <w:sz w:val="22"/>
        </w:rPr>
        <w:t xml:space="preserve">Rozsah a </w:t>
      </w:r>
      <w:r>
        <w:rPr>
          <w:sz w:val="22"/>
        </w:rPr>
        <w:t>způsob</w:t>
      </w:r>
      <w:r w:rsidRPr="00510A98">
        <w:rPr>
          <w:sz w:val="22"/>
        </w:rPr>
        <w:t xml:space="preserve"> náhrady škody zaměstnavateli vymezují příslušná ustanovení zákoníku práce</w:t>
      </w:r>
      <w:r w:rsidRPr="00510A98">
        <w:rPr>
          <w:sz w:val="22"/>
          <w:vertAlign w:val="superscript"/>
        </w:rPr>
        <w:footnoteReference w:id="5"/>
      </w:r>
      <w:r w:rsidR="00B610A8">
        <w:rPr>
          <w:sz w:val="22"/>
        </w:rPr>
        <w:t xml:space="preserve"> </w:t>
      </w:r>
      <w:r w:rsidR="00B610A8" w:rsidRPr="009E6EAF">
        <w:rPr>
          <w:sz w:val="22"/>
        </w:rPr>
        <w:t>či</w:t>
      </w:r>
      <w:r w:rsidR="00B65B4F">
        <w:rPr>
          <w:sz w:val="22"/>
        </w:rPr>
        <w:t> </w:t>
      </w:r>
      <w:r w:rsidR="00B610A8" w:rsidRPr="009E6EAF">
        <w:rPr>
          <w:sz w:val="22"/>
        </w:rPr>
        <w:t>občanského zákoníku</w:t>
      </w:r>
      <w:r w:rsidR="00B610A8" w:rsidRPr="009E6EAF">
        <w:rPr>
          <w:rStyle w:val="Znakapoznpodarou"/>
          <w:sz w:val="22"/>
        </w:rPr>
        <w:footnoteReference w:id="6"/>
      </w:r>
      <w:r w:rsidR="00B610A8" w:rsidRPr="009E6EAF">
        <w:rPr>
          <w:sz w:val="22"/>
        </w:rPr>
        <w:t>. D</w:t>
      </w:r>
      <w:r w:rsidRPr="009E6EAF">
        <w:rPr>
          <w:sz w:val="22"/>
        </w:rPr>
        <w:t xml:space="preserve">le </w:t>
      </w:r>
      <w:r w:rsidR="00B610A8" w:rsidRPr="009E6EAF">
        <w:rPr>
          <w:sz w:val="22"/>
        </w:rPr>
        <w:t>zákoníku práce</w:t>
      </w:r>
      <w:r w:rsidRPr="00510A98">
        <w:rPr>
          <w:sz w:val="22"/>
        </w:rPr>
        <w:t xml:space="preserve"> obecně platí:</w:t>
      </w:r>
    </w:p>
    <w:p w:rsidR="00766EDA" w:rsidRPr="00510A98" w:rsidRDefault="00766EDA" w:rsidP="00766EDA">
      <w:pPr>
        <w:numPr>
          <w:ilvl w:val="0"/>
          <w:numId w:val="9"/>
        </w:numPr>
        <w:spacing w:before="120"/>
        <w:jc w:val="both"/>
        <w:rPr>
          <w:sz w:val="22"/>
        </w:rPr>
      </w:pPr>
      <w:r>
        <w:rPr>
          <w:sz w:val="22"/>
        </w:rPr>
        <w:t>V</w:t>
      </w:r>
      <w:r w:rsidRPr="00510A98">
        <w:rPr>
          <w:sz w:val="22"/>
        </w:rPr>
        <w:t> případě zaviněného porušení povinností při plnění pracovníc</w:t>
      </w:r>
      <w:r>
        <w:rPr>
          <w:sz w:val="22"/>
        </w:rPr>
        <w:t>h úkolů nebo v přímé souvislosti</w:t>
      </w:r>
      <w:r w:rsidRPr="00510A98">
        <w:rPr>
          <w:sz w:val="22"/>
        </w:rPr>
        <w:t xml:space="preserve"> s</w:t>
      </w:r>
      <w:r w:rsidR="00EB23ED">
        <w:rPr>
          <w:sz w:val="22"/>
        </w:rPr>
        <w:t> </w:t>
      </w:r>
      <w:r w:rsidRPr="00510A98">
        <w:rPr>
          <w:sz w:val="22"/>
        </w:rPr>
        <w:t>ním je zaměstnanec povinen nahradit zaměstnavateli skutečnou škodu, a to v penězích, pokud neodčiní</w:t>
      </w:r>
      <w:r>
        <w:rPr>
          <w:sz w:val="22"/>
        </w:rPr>
        <w:t xml:space="preserve"> škodu</w:t>
      </w:r>
      <w:r w:rsidRPr="00510A98">
        <w:rPr>
          <w:sz w:val="22"/>
        </w:rPr>
        <w:t xml:space="preserve"> uvedením </w:t>
      </w:r>
      <w:r>
        <w:rPr>
          <w:sz w:val="22"/>
        </w:rPr>
        <w:t>do předešlého stavu</w:t>
      </w:r>
      <w:r w:rsidRPr="00510A98">
        <w:rPr>
          <w:sz w:val="22"/>
        </w:rPr>
        <w:t>. Výše požadované náhrady škody</w:t>
      </w:r>
      <w:r>
        <w:rPr>
          <w:sz w:val="22"/>
        </w:rPr>
        <w:t xml:space="preserve"> způsobené z</w:t>
      </w:r>
      <w:r w:rsidR="0018781F">
        <w:rPr>
          <w:sz w:val="22"/>
        </w:rPr>
        <w:t> </w:t>
      </w:r>
      <w:r>
        <w:rPr>
          <w:sz w:val="22"/>
        </w:rPr>
        <w:t>nedbalosti</w:t>
      </w:r>
      <w:r w:rsidRPr="00510A98">
        <w:rPr>
          <w:sz w:val="22"/>
        </w:rPr>
        <w:t xml:space="preserve"> nesmí u jednotlivého zaměstnance</w:t>
      </w:r>
      <w:r>
        <w:rPr>
          <w:sz w:val="22"/>
        </w:rPr>
        <w:t xml:space="preserve"> přesáhnout</w:t>
      </w:r>
      <w:r w:rsidRPr="00510A98">
        <w:rPr>
          <w:sz w:val="22"/>
        </w:rPr>
        <w:t xml:space="preserve"> částku, která se rovná čtyř a půl násobku průměrného měsíčního výdělku zaměstnance před porušením povinnosti, kterým škodu způsobil. Toto omezení neplatí, byla-li škoda způsobena úmyslně, v opilosti nebo </w:t>
      </w:r>
      <w:r w:rsidR="000D5ABB">
        <w:rPr>
          <w:sz w:val="22"/>
        </w:rPr>
        <w:t>po</w:t>
      </w:r>
      <w:r w:rsidRPr="00510A98">
        <w:rPr>
          <w:sz w:val="22"/>
        </w:rPr>
        <w:t xml:space="preserve"> zneužití jiných návykových látek</w:t>
      </w:r>
      <w:r w:rsidR="000D5ABB">
        <w:rPr>
          <w:rStyle w:val="Znakapoznpodarou"/>
          <w:sz w:val="22"/>
        </w:rPr>
        <w:footnoteReference w:id="7"/>
      </w:r>
      <w:r>
        <w:rPr>
          <w:sz w:val="22"/>
        </w:rPr>
        <w:t>.</w:t>
      </w:r>
    </w:p>
    <w:p w:rsidR="00766EDA" w:rsidRPr="00510A98" w:rsidRDefault="00766EDA" w:rsidP="00766EDA">
      <w:pPr>
        <w:numPr>
          <w:ilvl w:val="0"/>
          <w:numId w:val="9"/>
        </w:numPr>
        <w:spacing w:before="120"/>
        <w:jc w:val="both"/>
        <w:rPr>
          <w:sz w:val="22"/>
        </w:rPr>
      </w:pPr>
      <w:r>
        <w:rPr>
          <w:sz w:val="22"/>
        </w:rPr>
        <w:t>V</w:t>
      </w:r>
      <w:r w:rsidRPr="00510A98">
        <w:rPr>
          <w:sz w:val="22"/>
        </w:rPr>
        <w:t> případě vědomého neupozornění nadřízeného vedoucího zaměstnance na škodu hrozící zaměstnavateli nebo nesplnění povinnosti k odvrácení hrozící škody, může zaměstnavatel požadovat na zaměstnanci, aby přispěl k náhradě škody v rozsahu přiměřeném okolnostem případu. Výše náhrady škody nesmí přesáhnout částku rovnající se trojnásobku průměrného měsíčního výdělku zaměstnance</w:t>
      </w:r>
      <w:r>
        <w:rPr>
          <w:sz w:val="22"/>
        </w:rPr>
        <w:t xml:space="preserve"> před nesplněním jeho povinnosti k odvrácení hrozící škody.</w:t>
      </w:r>
    </w:p>
    <w:p w:rsidR="00766EDA" w:rsidRPr="00B9650A" w:rsidRDefault="00766EDA" w:rsidP="00766EDA">
      <w:pPr>
        <w:numPr>
          <w:ilvl w:val="0"/>
          <w:numId w:val="9"/>
        </w:numPr>
        <w:spacing w:before="120"/>
        <w:jc w:val="both"/>
        <w:rPr>
          <w:sz w:val="22"/>
        </w:rPr>
      </w:pPr>
      <w:r>
        <w:rPr>
          <w:bCs/>
          <w:sz w:val="22"/>
        </w:rPr>
        <w:t>V</w:t>
      </w:r>
      <w:r w:rsidRPr="00510A98">
        <w:rPr>
          <w:bCs/>
          <w:sz w:val="22"/>
        </w:rPr>
        <w:t> případech schodku na svěřených hodnotách, které je zaměstnanec povinen vyúčtovat na základě písemně uzavřené dohody o odpovědnosti k ochraně hodnot svěřených mu k vyúčtování (např. hotovost, ceniny, zboží, zásoby materiálu)</w:t>
      </w:r>
      <w:r>
        <w:rPr>
          <w:bCs/>
          <w:sz w:val="22"/>
        </w:rPr>
        <w:t xml:space="preserve"> je zaměstnanec povinen nahradit schodek na svěřených hodnotách v plné výši.</w:t>
      </w:r>
    </w:p>
    <w:p w:rsidR="00766EDA" w:rsidRPr="00510A98" w:rsidRDefault="00766EDA" w:rsidP="00766EDA">
      <w:pPr>
        <w:numPr>
          <w:ilvl w:val="0"/>
          <w:numId w:val="9"/>
        </w:numPr>
        <w:spacing w:before="120"/>
        <w:jc w:val="both"/>
        <w:rPr>
          <w:sz w:val="22"/>
        </w:rPr>
      </w:pPr>
      <w:r>
        <w:rPr>
          <w:bCs/>
          <w:sz w:val="22"/>
        </w:rPr>
        <w:t>V</w:t>
      </w:r>
      <w:r w:rsidRPr="00510A98">
        <w:rPr>
          <w:bCs/>
          <w:sz w:val="22"/>
        </w:rPr>
        <w:t xml:space="preserve"> případě ztráty nástrojů, ochranných pracovních prostředků a jiných podobných předmětů, které zaměstnavatel zaměstnanci svěřil na základě písemného potvrzení, je z</w:t>
      </w:r>
      <w:r w:rsidRPr="00510A98">
        <w:rPr>
          <w:sz w:val="22"/>
        </w:rPr>
        <w:t xml:space="preserve">aměstnanec, který odpovídá za ztrátu svěřených předmětů, povinen nahradit </w:t>
      </w:r>
      <w:r>
        <w:rPr>
          <w:sz w:val="22"/>
        </w:rPr>
        <w:t>škodu vzniklou</w:t>
      </w:r>
      <w:r w:rsidRPr="00510A98">
        <w:rPr>
          <w:sz w:val="22"/>
        </w:rPr>
        <w:t xml:space="preserve"> ztrát</w:t>
      </w:r>
      <w:r>
        <w:rPr>
          <w:sz w:val="22"/>
        </w:rPr>
        <w:t>ou</w:t>
      </w:r>
      <w:r w:rsidRPr="00510A98">
        <w:rPr>
          <w:sz w:val="22"/>
        </w:rPr>
        <w:t xml:space="preserve"> svěřených předmětů v plné výši.</w:t>
      </w:r>
      <w:r>
        <w:rPr>
          <w:sz w:val="22"/>
        </w:rPr>
        <w:t xml:space="preserve"> Písemným potvrzením se rovněž rozumí převzetí svěřené věci, která je v majetku zaměstnavatele evidována na osobní kartě zaměstnance.</w:t>
      </w:r>
    </w:p>
    <w:p w:rsidR="00766EDA" w:rsidRPr="00510A98" w:rsidRDefault="00766EDA" w:rsidP="00766EDA">
      <w:pPr>
        <w:numPr>
          <w:ilvl w:val="0"/>
          <w:numId w:val="8"/>
        </w:numPr>
        <w:spacing w:before="240"/>
        <w:jc w:val="both"/>
        <w:rPr>
          <w:sz w:val="22"/>
        </w:rPr>
      </w:pPr>
      <w:r w:rsidRPr="00510A98">
        <w:rPr>
          <w:sz w:val="22"/>
        </w:rPr>
        <w:t>Příslušná ustanovení zákoníku práce</w:t>
      </w:r>
      <w:r w:rsidR="00601D8F">
        <w:rPr>
          <w:sz w:val="22"/>
        </w:rPr>
        <w:t xml:space="preserve"> </w:t>
      </w:r>
      <w:r w:rsidR="00601D8F" w:rsidRPr="009E6EAF">
        <w:rPr>
          <w:sz w:val="22"/>
        </w:rPr>
        <w:t>či občanského zákoníku</w:t>
      </w:r>
      <w:r w:rsidRPr="00510A98">
        <w:rPr>
          <w:sz w:val="22"/>
        </w:rPr>
        <w:t xml:space="preserve"> dále stanoví případy modifikace úpravy rozsahu náhrady škody v závislosti na zvláštních podmínkách jednotlivých případů, jako je např. úmyslné způsobení škody, společná odpovědnost </w:t>
      </w:r>
      <w:r w:rsidR="00601D8F">
        <w:rPr>
          <w:sz w:val="22"/>
        </w:rPr>
        <w:t>z</w:t>
      </w:r>
      <w:r w:rsidRPr="00510A98">
        <w:rPr>
          <w:sz w:val="22"/>
        </w:rPr>
        <w:t xml:space="preserve">a způsobenou škodu, apod. </w:t>
      </w:r>
    </w:p>
    <w:p w:rsidR="00766EDA" w:rsidRDefault="00766EDA" w:rsidP="00766EDA">
      <w:pPr>
        <w:spacing w:before="240"/>
        <w:contextualSpacing/>
        <w:rPr>
          <w:sz w:val="22"/>
          <w:szCs w:val="22"/>
        </w:rPr>
      </w:pPr>
    </w:p>
    <w:p w:rsidR="00766EDA" w:rsidRPr="00372C7D" w:rsidRDefault="00766EDA" w:rsidP="00766EDA">
      <w:pPr>
        <w:spacing w:before="240"/>
        <w:contextualSpacing/>
        <w:rPr>
          <w:sz w:val="22"/>
          <w:szCs w:val="22"/>
        </w:rPr>
      </w:pPr>
    </w:p>
    <w:p w:rsidR="00766EDA" w:rsidRPr="00372C7D" w:rsidRDefault="00766EDA" w:rsidP="00766EDA">
      <w:pPr>
        <w:jc w:val="center"/>
        <w:outlineLvl w:val="1"/>
        <w:rPr>
          <w:b/>
          <w:color w:val="000000"/>
          <w:sz w:val="22"/>
          <w:szCs w:val="22"/>
        </w:rPr>
      </w:pPr>
      <w:bookmarkStart w:id="56" w:name="_Toc448146262"/>
      <w:bookmarkStart w:id="57" w:name="_Toc462655771"/>
      <w:bookmarkStart w:id="58" w:name="_Toc89843559"/>
      <w:r w:rsidRPr="00372C7D">
        <w:rPr>
          <w:b/>
          <w:color w:val="000000"/>
          <w:sz w:val="22"/>
          <w:szCs w:val="22"/>
        </w:rPr>
        <w:t>Hlava druhá</w:t>
      </w:r>
      <w:bookmarkEnd w:id="56"/>
      <w:bookmarkEnd w:id="57"/>
      <w:bookmarkEnd w:id="58"/>
    </w:p>
    <w:p w:rsidR="00766EDA" w:rsidRPr="00372C7D" w:rsidRDefault="00766EDA" w:rsidP="00766EDA">
      <w:pPr>
        <w:jc w:val="center"/>
        <w:outlineLvl w:val="1"/>
        <w:rPr>
          <w:b/>
          <w:sz w:val="22"/>
          <w:szCs w:val="22"/>
        </w:rPr>
      </w:pPr>
      <w:bookmarkStart w:id="59" w:name="_Toc257972697"/>
      <w:bookmarkStart w:id="60" w:name="_Toc448146263"/>
      <w:bookmarkStart w:id="61" w:name="_Toc462655772"/>
      <w:bookmarkStart w:id="62" w:name="_Toc89843560"/>
      <w:r>
        <w:rPr>
          <w:b/>
          <w:color w:val="000000"/>
          <w:sz w:val="22"/>
          <w:szCs w:val="22"/>
        </w:rPr>
        <w:t xml:space="preserve">Postup </w:t>
      </w:r>
      <w:bookmarkEnd w:id="59"/>
      <w:bookmarkEnd w:id="60"/>
      <w:r>
        <w:rPr>
          <w:b/>
          <w:color w:val="000000"/>
          <w:sz w:val="22"/>
          <w:szCs w:val="22"/>
        </w:rPr>
        <w:t>při řešení náhrady škody kraji</w:t>
      </w:r>
      <w:bookmarkEnd w:id="61"/>
      <w:bookmarkEnd w:id="62"/>
    </w:p>
    <w:p w:rsidR="00766EDA" w:rsidRPr="00372C7D" w:rsidRDefault="00766EDA" w:rsidP="00766EDA">
      <w:pPr>
        <w:jc w:val="center"/>
        <w:rPr>
          <w:b/>
          <w:sz w:val="22"/>
          <w:szCs w:val="22"/>
        </w:rPr>
      </w:pPr>
    </w:p>
    <w:p w:rsidR="00766EDA" w:rsidRPr="00BE3C7D" w:rsidRDefault="00766EDA" w:rsidP="00766EDA">
      <w:pPr>
        <w:jc w:val="center"/>
        <w:outlineLvl w:val="2"/>
        <w:rPr>
          <w:b/>
          <w:sz w:val="22"/>
          <w:szCs w:val="22"/>
        </w:rPr>
      </w:pPr>
      <w:bookmarkStart w:id="63" w:name="_Toc448146264"/>
      <w:bookmarkStart w:id="64" w:name="_Toc462655773"/>
      <w:bookmarkStart w:id="65" w:name="_Toc89843561"/>
      <w:r w:rsidRPr="00372C7D">
        <w:rPr>
          <w:b/>
          <w:sz w:val="22"/>
          <w:szCs w:val="22"/>
        </w:rPr>
        <w:t xml:space="preserve">Čl. </w:t>
      </w:r>
      <w:r>
        <w:rPr>
          <w:b/>
          <w:sz w:val="22"/>
          <w:szCs w:val="22"/>
        </w:rPr>
        <w:t>VII</w:t>
      </w:r>
      <w:r w:rsidRPr="00372C7D">
        <w:rPr>
          <w:b/>
          <w:sz w:val="22"/>
          <w:szCs w:val="22"/>
        </w:rPr>
        <w:t>.</w:t>
      </w:r>
      <w:bookmarkEnd w:id="63"/>
      <w:bookmarkEnd w:id="64"/>
      <w:r w:rsidR="00076F8D">
        <w:rPr>
          <w:b/>
          <w:sz w:val="22"/>
          <w:szCs w:val="22"/>
        </w:rPr>
        <w:t xml:space="preserve"> </w:t>
      </w:r>
      <w:bookmarkStart w:id="66" w:name="_Toc448146265"/>
      <w:bookmarkStart w:id="67" w:name="_Toc462655774"/>
      <w:r w:rsidR="00F3189F" w:rsidRPr="00BE3C7D">
        <w:rPr>
          <w:b/>
          <w:sz w:val="22"/>
          <w:szCs w:val="22"/>
        </w:rPr>
        <w:t xml:space="preserve">Prošetření okolností, </w:t>
      </w:r>
      <w:r w:rsidR="00A22B39" w:rsidRPr="00BE3C7D">
        <w:rPr>
          <w:b/>
          <w:sz w:val="22"/>
          <w:szCs w:val="22"/>
        </w:rPr>
        <w:t>o</w:t>
      </w:r>
      <w:r w:rsidRPr="00BE3C7D">
        <w:rPr>
          <w:b/>
          <w:sz w:val="22"/>
          <w:szCs w:val="22"/>
        </w:rPr>
        <w:t xml:space="preserve">známení škody a </w:t>
      </w:r>
      <w:bookmarkEnd w:id="66"/>
      <w:r w:rsidRPr="00BE3C7D">
        <w:rPr>
          <w:b/>
          <w:sz w:val="22"/>
          <w:szCs w:val="22"/>
        </w:rPr>
        <w:t>její šetření</w:t>
      </w:r>
      <w:bookmarkEnd w:id="65"/>
      <w:bookmarkEnd w:id="67"/>
      <w:r w:rsidRPr="00BE3C7D">
        <w:rPr>
          <w:b/>
          <w:sz w:val="22"/>
          <w:szCs w:val="22"/>
        </w:rPr>
        <w:t xml:space="preserve"> </w:t>
      </w:r>
    </w:p>
    <w:p w:rsidR="00766EDA" w:rsidRPr="00BE3C7D" w:rsidRDefault="00766EDA" w:rsidP="00766EDA">
      <w:pPr>
        <w:numPr>
          <w:ilvl w:val="0"/>
          <w:numId w:val="10"/>
        </w:numPr>
        <w:spacing w:before="240"/>
        <w:jc w:val="both"/>
        <w:rPr>
          <w:sz w:val="22"/>
        </w:rPr>
      </w:pPr>
      <w:r w:rsidRPr="00BE3C7D">
        <w:rPr>
          <w:sz w:val="22"/>
        </w:rPr>
        <w:t>Každý zaměstnanec je povinen dle článku III. odst. 2 předpisu plnit oznamovací povinnost týkající se</w:t>
      </w:r>
      <w:r w:rsidR="00B65B4F">
        <w:rPr>
          <w:sz w:val="22"/>
        </w:rPr>
        <w:t> </w:t>
      </w:r>
      <w:r w:rsidRPr="00BE3C7D">
        <w:rPr>
          <w:sz w:val="22"/>
        </w:rPr>
        <w:t xml:space="preserve">jakékoli vzniklé či způsobené škody v souvislosti s činností zaměstnavatele. </w:t>
      </w:r>
    </w:p>
    <w:p w:rsidR="00F3189F" w:rsidRPr="00305B93" w:rsidRDefault="00F3189F" w:rsidP="00766EDA">
      <w:pPr>
        <w:numPr>
          <w:ilvl w:val="0"/>
          <w:numId w:val="10"/>
        </w:numPr>
        <w:spacing w:before="240"/>
        <w:jc w:val="both"/>
        <w:rPr>
          <w:sz w:val="22"/>
        </w:rPr>
      </w:pPr>
      <w:r w:rsidRPr="00305B93">
        <w:rPr>
          <w:sz w:val="22"/>
        </w:rPr>
        <w:t>Věcně příslušný vedoucí odboru</w:t>
      </w:r>
      <w:r w:rsidR="00DA5ECC" w:rsidRPr="00305B93">
        <w:rPr>
          <w:sz w:val="22"/>
        </w:rPr>
        <w:t xml:space="preserve"> u j</w:t>
      </w:r>
      <w:r w:rsidR="00315CB8" w:rsidRPr="00305B93">
        <w:rPr>
          <w:sz w:val="22"/>
        </w:rPr>
        <w:t>emu</w:t>
      </w:r>
      <w:r w:rsidR="00DA5ECC" w:rsidRPr="00305B93">
        <w:rPr>
          <w:sz w:val="22"/>
        </w:rPr>
        <w:t xml:space="preserve"> podřízených zaměstnanců</w:t>
      </w:r>
      <w:r w:rsidRPr="00305B93">
        <w:rPr>
          <w:sz w:val="22"/>
        </w:rPr>
        <w:t>, ředitelka krajského úřadu</w:t>
      </w:r>
      <w:r w:rsidR="00DA5ECC" w:rsidRPr="00305B93">
        <w:rPr>
          <w:sz w:val="22"/>
        </w:rPr>
        <w:t xml:space="preserve"> </w:t>
      </w:r>
      <w:r w:rsidR="00315CB8" w:rsidRPr="00305B93">
        <w:rPr>
          <w:sz w:val="22"/>
        </w:rPr>
        <w:t>u</w:t>
      </w:r>
      <w:r w:rsidR="00996772" w:rsidRPr="00305B93">
        <w:rPr>
          <w:sz w:val="22"/>
        </w:rPr>
        <w:t xml:space="preserve"> členů zastupitelstva</w:t>
      </w:r>
      <w:r w:rsidR="00315CB8" w:rsidRPr="00305B93">
        <w:rPr>
          <w:sz w:val="22"/>
        </w:rPr>
        <w:t xml:space="preserve"> a u vedoucích odborů krajského úřadu vyjma vedoucího finančního odboru</w:t>
      </w:r>
      <w:r w:rsidRPr="00305B93">
        <w:rPr>
          <w:sz w:val="22"/>
        </w:rPr>
        <w:t xml:space="preserve">, </w:t>
      </w:r>
      <w:r w:rsidR="00315CB8" w:rsidRPr="00305B93">
        <w:rPr>
          <w:sz w:val="22"/>
        </w:rPr>
        <w:t>vedoucí odboru legislativního a právního a krajský živnostenský úřad u vedoucího finančního odboru,</w:t>
      </w:r>
      <w:r w:rsidR="00315CB8">
        <w:rPr>
          <w:sz w:val="22"/>
        </w:rPr>
        <w:t xml:space="preserve"> </w:t>
      </w:r>
      <w:r w:rsidRPr="00BE3C7D">
        <w:rPr>
          <w:sz w:val="22"/>
        </w:rPr>
        <w:t>vedoucí projektu</w:t>
      </w:r>
      <w:r w:rsidRPr="00BE3C7D">
        <w:rPr>
          <w:rStyle w:val="Znakapoznpodarou"/>
          <w:sz w:val="22"/>
        </w:rPr>
        <w:footnoteReference w:id="8"/>
      </w:r>
      <w:r w:rsidRPr="00BE3C7D">
        <w:rPr>
          <w:sz w:val="22"/>
        </w:rPr>
        <w:t xml:space="preserve"> nebo jimi pověřená osoba </w:t>
      </w:r>
      <w:r w:rsidR="00530ED7" w:rsidRPr="00BE3C7D">
        <w:rPr>
          <w:sz w:val="22"/>
        </w:rPr>
        <w:t xml:space="preserve">v době před </w:t>
      </w:r>
      <w:r w:rsidRPr="00BE3C7D">
        <w:rPr>
          <w:sz w:val="22"/>
        </w:rPr>
        <w:t>rozhodný</w:t>
      </w:r>
      <w:r w:rsidR="00530ED7" w:rsidRPr="00BE3C7D">
        <w:rPr>
          <w:sz w:val="22"/>
        </w:rPr>
        <w:t>m</w:t>
      </w:r>
      <w:r w:rsidRPr="00BE3C7D">
        <w:rPr>
          <w:sz w:val="22"/>
        </w:rPr>
        <w:t xml:space="preserve"> okamžik</w:t>
      </w:r>
      <w:r w:rsidR="00530ED7" w:rsidRPr="00BE3C7D">
        <w:rPr>
          <w:sz w:val="22"/>
        </w:rPr>
        <w:t>em</w:t>
      </w:r>
      <w:r w:rsidRPr="00BE3C7D">
        <w:rPr>
          <w:sz w:val="22"/>
        </w:rPr>
        <w:t xml:space="preserve"> posoudí, zda </w:t>
      </w:r>
      <w:r w:rsidR="00530ED7" w:rsidRPr="00BE3C7D">
        <w:rPr>
          <w:sz w:val="22"/>
        </w:rPr>
        <w:t xml:space="preserve">došlo ke </w:t>
      </w:r>
      <w:r w:rsidRPr="00BE3C7D">
        <w:rPr>
          <w:sz w:val="22"/>
        </w:rPr>
        <w:t>vznik</w:t>
      </w:r>
      <w:r w:rsidR="00530ED7" w:rsidRPr="00BE3C7D">
        <w:rPr>
          <w:sz w:val="22"/>
        </w:rPr>
        <w:t>u</w:t>
      </w:r>
      <w:r w:rsidRPr="00BE3C7D">
        <w:rPr>
          <w:sz w:val="22"/>
        </w:rPr>
        <w:t xml:space="preserve"> škod</w:t>
      </w:r>
      <w:r w:rsidR="00530ED7" w:rsidRPr="00BE3C7D">
        <w:rPr>
          <w:sz w:val="22"/>
        </w:rPr>
        <w:t>y</w:t>
      </w:r>
      <w:r w:rsidRPr="00BE3C7D">
        <w:rPr>
          <w:sz w:val="22"/>
        </w:rPr>
        <w:t xml:space="preserve"> </w:t>
      </w:r>
      <w:r w:rsidR="00530ED7" w:rsidRPr="00BE3C7D">
        <w:rPr>
          <w:sz w:val="22"/>
        </w:rPr>
        <w:t>způsobené zaměstnancem. O</w:t>
      </w:r>
      <w:r w:rsidR="00B65B4F">
        <w:rPr>
          <w:sz w:val="22"/>
        </w:rPr>
        <w:t> </w:t>
      </w:r>
      <w:r w:rsidR="00530ED7" w:rsidRPr="00BE3C7D">
        <w:rPr>
          <w:sz w:val="22"/>
        </w:rPr>
        <w:t>tomto posouzení pořídí</w:t>
      </w:r>
      <w:r w:rsidR="006E4F74">
        <w:rPr>
          <w:sz w:val="22"/>
        </w:rPr>
        <w:t xml:space="preserve"> ve lhůtě </w:t>
      </w:r>
      <w:r w:rsidR="006E4F74" w:rsidRPr="00BE3C7D">
        <w:rPr>
          <w:sz w:val="22"/>
        </w:rPr>
        <w:t>nejdéle 20 pracovních dnů od</w:t>
      </w:r>
      <w:r w:rsidR="000E1FC9">
        <w:rPr>
          <w:sz w:val="22"/>
        </w:rPr>
        <w:t xml:space="preserve"> vzniku škody</w:t>
      </w:r>
      <w:r w:rsidR="00530ED7" w:rsidRPr="00BE3C7D">
        <w:rPr>
          <w:sz w:val="22"/>
        </w:rPr>
        <w:t xml:space="preserve"> </w:t>
      </w:r>
      <w:r w:rsidR="002424FF" w:rsidRPr="00BE3C7D">
        <w:rPr>
          <w:sz w:val="22"/>
        </w:rPr>
        <w:t>Z</w:t>
      </w:r>
      <w:r w:rsidR="00530ED7" w:rsidRPr="00BE3C7D">
        <w:rPr>
          <w:sz w:val="22"/>
        </w:rPr>
        <w:t>áznam</w:t>
      </w:r>
      <w:r w:rsidR="002424FF" w:rsidRPr="00BE3C7D">
        <w:rPr>
          <w:sz w:val="22"/>
        </w:rPr>
        <w:t xml:space="preserve"> o posouzení škody</w:t>
      </w:r>
      <w:r w:rsidR="00530ED7" w:rsidRPr="00BE3C7D">
        <w:rPr>
          <w:sz w:val="22"/>
        </w:rPr>
        <w:t>, jehož vzor tvoří přílohu č.</w:t>
      </w:r>
      <w:r w:rsidR="002424FF" w:rsidRPr="00BE3C7D">
        <w:rPr>
          <w:sz w:val="22"/>
        </w:rPr>
        <w:t xml:space="preserve"> 1 předpisu</w:t>
      </w:r>
      <w:r w:rsidR="00530ED7" w:rsidRPr="00BE3C7D">
        <w:rPr>
          <w:sz w:val="22"/>
        </w:rPr>
        <w:t xml:space="preserve"> (dále jen „záznam“)</w:t>
      </w:r>
      <w:r w:rsidR="001E7FE9">
        <w:rPr>
          <w:sz w:val="22"/>
        </w:rPr>
        <w:t xml:space="preserve"> a v této lhůtě jej</w:t>
      </w:r>
      <w:r w:rsidR="0075364E" w:rsidRPr="00BE3C7D">
        <w:rPr>
          <w:sz w:val="22"/>
        </w:rPr>
        <w:t xml:space="preserve"> předá</w:t>
      </w:r>
      <w:r w:rsidR="000E1FC9">
        <w:rPr>
          <w:sz w:val="22"/>
        </w:rPr>
        <w:t xml:space="preserve"> </w:t>
      </w:r>
      <w:r w:rsidR="0075364E" w:rsidRPr="00BE3C7D">
        <w:rPr>
          <w:sz w:val="22"/>
        </w:rPr>
        <w:t>prostřednictvím</w:t>
      </w:r>
      <w:r w:rsidR="009F4DDC">
        <w:rPr>
          <w:sz w:val="22"/>
        </w:rPr>
        <w:t xml:space="preserve"> eSSL Athena</w:t>
      </w:r>
      <w:r w:rsidR="0075364E" w:rsidRPr="00BE3C7D">
        <w:rPr>
          <w:sz w:val="22"/>
        </w:rPr>
        <w:t xml:space="preserve"> </w:t>
      </w:r>
      <w:r w:rsidR="002424FF" w:rsidRPr="00BE3C7D">
        <w:rPr>
          <w:sz w:val="22"/>
        </w:rPr>
        <w:t>včetně kompletní podkladové dokumentace</w:t>
      </w:r>
      <w:r w:rsidR="0075364E" w:rsidRPr="00BE3C7D">
        <w:rPr>
          <w:sz w:val="22"/>
        </w:rPr>
        <w:t xml:space="preserve"> odboru finančnímu</w:t>
      </w:r>
      <w:r w:rsidR="00530ED7" w:rsidRPr="00BE3C7D">
        <w:rPr>
          <w:sz w:val="22"/>
        </w:rPr>
        <w:t xml:space="preserve">. Záznam obsahuje nejméně popis události, či identifikaci výdaje z rozpočtu kraje, v důsledku kterých mohla vzniknout škoda, </w:t>
      </w:r>
      <w:r w:rsidR="00315243" w:rsidRPr="00BE3C7D">
        <w:rPr>
          <w:sz w:val="22"/>
        </w:rPr>
        <w:t>výš</w:t>
      </w:r>
      <w:r w:rsidR="005F6513" w:rsidRPr="00BE3C7D">
        <w:rPr>
          <w:sz w:val="22"/>
        </w:rPr>
        <w:t>i</w:t>
      </w:r>
      <w:r w:rsidR="00315243" w:rsidRPr="00BE3C7D">
        <w:rPr>
          <w:sz w:val="22"/>
        </w:rPr>
        <w:t xml:space="preserve"> potenciální škody</w:t>
      </w:r>
      <w:r w:rsidR="00CF3C23" w:rsidRPr="00BE3C7D">
        <w:rPr>
          <w:sz w:val="22"/>
        </w:rPr>
        <w:t>,</w:t>
      </w:r>
      <w:r w:rsidR="00315243" w:rsidRPr="00BE3C7D">
        <w:rPr>
          <w:sz w:val="22"/>
        </w:rPr>
        <w:t xml:space="preserve"> </w:t>
      </w:r>
      <w:r w:rsidR="00530ED7" w:rsidRPr="00BE3C7D">
        <w:rPr>
          <w:sz w:val="22"/>
        </w:rPr>
        <w:t>posouzení, zda došlo k porušení povinností zaměstnance</w:t>
      </w:r>
      <w:r w:rsidR="00CF3C23" w:rsidRPr="00BE3C7D">
        <w:rPr>
          <w:sz w:val="22"/>
        </w:rPr>
        <w:t xml:space="preserve"> a datum</w:t>
      </w:r>
      <w:r w:rsidR="009F4DDC">
        <w:rPr>
          <w:sz w:val="22"/>
        </w:rPr>
        <w:t>, jméno, funkci</w:t>
      </w:r>
      <w:r w:rsidR="00CF3C23" w:rsidRPr="00BE3C7D">
        <w:rPr>
          <w:sz w:val="22"/>
        </w:rPr>
        <w:t xml:space="preserve"> a podpis osoby, která záznam zpracovala.</w:t>
      </w:r>
      <w:r w:rsidR="003B06AD" w:rsidRPr="00BE3C7D">
        <w:rPr>
          <w:sz w:val="22"/>
        </w:rPr>
        <w:t xml:space="preserve"> </w:t>
      </w:r>
      <w:r w:rsidR="00401AD0" w:rsidRPr="00305B93">
        <w:rPr>
          <w:sz w:val="22"/>
        </w:rPr>
        <w:t xml:space="preserve">U </w:t>
      </w:r>
      <w:r w:rsidR="00E24FBF" w:rsidRPr="00305B93">
        <w:rPr>
          <w:sz w:val="22"/>
        </w:rPr>
        <w:t xml:space="preserve">ředitelky krajského úřadu </w:t>
      </w:r>
      <w:r w:rsidR="00401AD0" w:rsidRPr="00305B93">
        <w:rPr>
          <w:sz w:val="22"/>
        </w:rPr>
        <w:t>zajišťuje splnění výše specifikovaných povinností vedoucí</w:t>
      </w:r>
      <w:r w:rsidR="00C61009" w:rsidRPr="00305B93">
        <w:rPr>
          <w:sz w:val="22"/>
        </w:rPr>
        <w:t xml:space="preserve"> odboru</w:t>
      </w:r>
      <w:r w:rsidR="00401AD0" w:rsidRPr="00305B93">
        <w:rPr>
          <w:sz w:val="22"/>
        </w:rPr>
        <w:t xml:space="preserve"> kancelář </w:t>
      </w:r>
      <w:r w:rsidR="00996772" w:rsidRPr="00305B93">
        <w:rPr>
          <w:sz w:val="22"/>
        </w:rPr>
        <w:t>ředitelky</w:t>
      </w:r>
      <w:r w:rsidR="00E834D5" w:rsidRPr="00305B93">
        <w:rPr>
          <w:sz w:val="22"/>
        </w:rPr>
        <w:t xml:space="preserve"> úřadu</w:t>
      </w:r>
      <w:r w:rsidR="00401AD0" w:rsidRPr="00305B93">
        <w:rPr>
          <w:sz w:val="22"/>
        </w:rPr>
        <w:t>.</w:t>
      </w:r>
    </w:p>
    <w:p w:rsidR="00766EDA" w:rsidRPr="00305B93" w:rsidRDefault="00766EDA" w:rsidP="00766EDA">
      <w:pPr>
        <w:numPr>
          <w:ilvl w:val="0"/>
          <w:numId w:val="10"/>
        </w:numPr>
        <w:spacing w:before="240"/>
        <w:jc w:val="both"/>
        <w:rPr>
          <w:sz w:val="22"/>
        </w:rPr>
      </w:pPr>
      <w:r w:rsidRPr="00305B93">
        <w:rPr>
          <w:sz w:val="22"/>
        </w:rPr>
        <w:t>Věcně příslušný vedoucí odboru</w:t>
      </w:r>
      <w:r w:rsidR="00DA5ECC" w:rsidRPr="00305B93">
        <w:rPr>
          <w:sz w:val="22"/>
        </w:rPr>
        <w:t xml:space="preserve"> u j</w:t>
      </w:r>
      <w:r w:rsidR="00315CB8" w:rsidRPr="00305B93">
        <w:rPr>
          <w:sz w:val="22"/>
        </w:rPr>
        <w:t>emu</w:t>
      </w:r>
      <w:r w:rsidR="00DA5ECC" w:rsidRPr="00305B93">
        <w:rPr>
          <w:sz w:val="22"/>
        </w:rPr>
        <w:t xml:space="preserve"> podřízených zaměstnanců</w:t>
      </w:r>
      <w:r w:rsidRPr="00305B93">
        <w:rPr>
          <w:sz w:val="22"/>
        </w:rPr>
        <w:t>, ředitelka krajského úřadu</w:t>
      </w:r>
      <w:r w:rsidR="00315CB8" w:rsidRPr="00305B93">
        <w:rPr>
          <w:sz w:val="22"/>
        </w:rPr>
        <w:t xml:space="preserve"> u členů zastupitelstva a</w:t>
      </w:r>
      <w:r w:rsidR="00DA5ECC" w:rsidRPr="00305B93">
        <w:rPr>
          <w:sz w:val="22"/>
        </w:rPr>
        <w:t xml:space="preserve"> u vedoucích odborů krajského úřadu</w:t>
      </w:r>
      <w:r w:rsidR="00E834D5" w:rsidRPr="00305B93">
        <w:rPr>
          <w:sz w:val="22"/>
        </w:rPr>
        <w:t xml:space="preserve"> </w:t>
      </w:r>
      <w:r w:rsidR="00315CB8" w:rsidRPr="00305B93">
        <w:rPr>
          <w:sz w:val="22"/>
        </w:rPr>
        <w:t>vyjma vedoucího finančního odboru</w:t>
      </w:r>
      <w:r w:rsidR="00434A07" w:rsidRPr="00305B93">
        <w:rPr>
          <w:sz w:val="22"/>
        </w:rPr>
        <w:t>,</w:t>
      </w:r>
      <w:r w:rsidR="00315CB8" w:rsidRPr="00305B93">
        <w:rPr>
          <w:sz w:val="22"/>
        </w:rPr>
        <w:t xml:space="preserve"> vedoucí odboru legislativního a právního a krajský živnostenský úřad u vedoucího finančního odboru</w:t>
      </w:r>
      <w:r w:rsidRPr="00305B93">
        <w:rPr>
          <w:sz w:val="22"/>
        </w:rPr>
        <w:t xml:space="preserve"> vedoucí projektu</w:t>
      </w:r>
      <w:r w:rsidRPr="00305B93">
        <w:rPr>
          <w:rStyle w:val="Znakapoznpodarou"/>
          <w:sz w:val="22"/>
        </w:rPr>
        <w:footnoteReference w:id="9"/>
      </w:r>
      <w:r w:rsidRPr="00305B93">
        <w:rPr>
          <w:sz w:val="22"/>
        </w:rPr>
        <w:t xml:space="preserve"> </w:t>
      </w:r>
      <w:r w:rsidR="00434A07" w:rsidRPr="00305B93">
        <w:rPr>
          <w:sz w:val="22"/>
        </w:rPr>
        <w:t xml:space="preserve">nebo jimi pověřená osoba </w:t>
      </w:r>
      <w:r w:rsidRPr="00305B93">
        <w:rPr>
          <w:sz w:val="22"/>
        </w:rPr>
        <w:t xml:space="preserve">jsou </w:t>
      </w:r>
      <w:r w:rsidR="00C30431" w:rsidRPr="00305B93">
        <w:rPr>
          <w:sz w:val="22"/>
        </w:rPr>
        <w:t xml:space="preserve">k </w:t>
      </w:r>
      <w:r w:rsidRPr="00305B93">
        <w:rPr>
          <w:sz w:val="22"/>
        </w:rPr>
        <w:t>rozhodn</w:t>
      </w:r>
      <w:r w:rsidR="00C30431" w:rsidRPr="00305B93">
        <w:rPr>
          <w:sz w:val="22"/>
        </w:rPr>
        <w:t>ému</w:t>
      </w:r>
      <w:r w:rsidRPr="00305B93">
        <w:rPr>
          <w:sz w:val="22"/>
        </w:rPr>
        <w:t xml:space="preserve"> okamžik</w:t>
      </w:r>
      <w:r w:rsidR="00C30431" w:rsidRPr="00305B93">
        <w:rPr>
          <w:sz w:val="22"/>
        </w:rPr>
        <w:t>u</w:t>
      </w:r>
      <w:r w:rsidRPr="00305B93">
        <w:rPr>
          <w:sz w:val="22"/>
        </w:rPr>
        <w:t xml:space="preserve"> vzniku škody</w:t>
      </w:r>
      <w:r w:rsidR="00530ED7" w:rsidRPr="00305B93">
        <w:rPr>
          <w:sz w:val="22"/>
        </w:rPr>
        <w:t xml:space="preserve"> způsobené zaměstnancem</w:t>
      </w:r>
      <w:r w:rsidRPr="00305B93">
        <w:rPr>
          <w:sz w:val="22"/>
        </w:rPr>
        <w:t xml:space="preserve"> povinni zajistit řádné a včasné vyšetření škody</w:t>
      </w:r>
      <w:r w:rsidR="0075364E" w:rsidRPr="00305B93">
        <w:rPr>
          <w:sz w:val="22"/>
        </w:rPr>
        <w:t xml:space="preserve"> způsobené zaměstnancem</w:t>
      </w:r>
      <w:r w:rsidRPr="00305B93">
        <w:rPr>
          <w:sz w:val="22"/>
        </w:rPr>
        <w:t>, jejích příčin, výš</w:t>
      </w:r>
      <w:r w:rsidR="00A3638E" w:rsidRPr="00305B93">
        <w:rPr>
          <w:sz w:val="22"/>
        </w:rPr>
        <w:t>i</w:t>
      </w:r>
      <w:r w:rsidRPr="00305B93">
        <w:rPr>
          <w:sz w:val="22"/>
        </w:rPr>
        <w:t xml:space="preserve"> škody</w:t>
      </w:r>
      <w:r w:rsidR="0075364E" w:rsidRPr="00305B93">
        <w:rPr>
          <w:sz w:val="22"/>
        </w:rPr>
        <w:t xml:space="preserve"> způsobené zaměstnancem</w:t>
      </w:r>
      <w:r w:rsidRPr="00305B93">
        <w:rPr>
          <w:sz w:val="22"/>
        </w:rPr>
        <w:t>, všech dalších okolností se škodou</w:t>
      </w:r>
      <w:r w:rsidR="0075364E" w:rsidRPr="00305B93">
        <w:rPr>
          <w:sz w:val="22"/>
        </w:rPr>
        <w:t xml:space="preserve"> způsobenou zaměstnancem</w:t>
      </w:r>
      <w:r w:rsidRPr="00305B93">
        <w:rPr>
          <w:sz w:val="22"/>
        </w:rPr>
        <w:t xml:space="preserve"> souvisejících a sepsání protokolu o škodě</w:t>
      </w:r>
      <w:r w:rsidR="00977667" w:rsidRPr="00305B93">
        <w:rPr>
          <w:sz w:val="22"/>
        </w:rPr>
        <w:t>, který je součástí záznamu</w:t>
      </w:r>
      <w:r w:rsidRPr="00305B93">
        <w:rPr>
          <w:sz w:val="22"/>
        </w:rPr>
        <w:t xml:space="preserve">. </w:t>
      </w:r>
      <w:r w:rsidR="00A3638E" w:rsidRPr="00305B93">
        <w:rPr>
          <w:sz w:val="22"/>
        </w:rPr>
        <w:t xml:space="preserve">V případě, že škodu způsobí </w:t>
      </w:r>
      <w:r w:rsidR="00E24FBF" w:rsidRPr="00305B93">
        <w:rPr>
          <w:sz w:val="22"/>
        </w:rPr>
        <w:t>ředitelka krajského úřadu</w:t>
      </w:r>
      <w:r w:rsidR="00A3638E" w:rsidRPr="00305B93">
        <w:rPr>
          <w:sz w:val="22"/>
        </w:rPr>
        <w:t xml:space="preserve">, zajišťuje splnění shora uvedených povinností </w:t>
      </w:r>
      <w:r w:rsidR="00401AD0" w:rsidRPr="00305B93">
        <w:rPr>
          <w:sz w:val="22"/>
        </w:rPr>
        <w:t xml:space="preserve">vedoucí </w:t>
      </w:r>
      <w:r w:rsidR="00B45636" w:rsidRPr="00305B93">
        <w:rPr>
          <w:sz w:val="22"/>
        </w:rPr>
        <w:t xml:space="preserve">odboru </w:t>
      </w:r>
      <w:r w:rsidR="001E7FE9" w:rsidRPr="00305B93">
        <w:rPr>
          <w:sz w:val="22"/>
        </w:rPr>
        <w:t xml:space="preserve">kancelář </w:t>
      </w:r>
      <w:r w:rsidR="00E834D5" w:rsidRPr="00305B93">
        <w:rPr>
          <w:sz w:val="22"/>
        </w:rPr>
        <w:t>ředitelky úřadu</w:t>
      </w:r>
      <w:r w:rsidR="00A3638E" w:rsidRPr="00305B93">
        <w:rPr>
          <w:sz w:val="22"/>
        </w:rPr>
        <w:t>.</w:t>
      </w:r>
      <w:r w:rsidR="00C63349" w:rsidRPr="00305B93">
        <w:rPr>
          <w:sz w:val="22"/>
        </w:rPr>
        <w:t xml:space="preserve"> </w:t>
      </w:r>
    </w:p>
    <w:p w:rsidR="00766EDA" w:rsidRPr="00BE3C7D" w:rsidRDefault="00CE6DE9" w:rsidP="00766EDA">
      <w:pPr>
        <w:numPr>
          <w:ilvl w:val="0"/>
          <w:numId w:val="10"/>
        </w:numPr>
        <w:spacing w:before="240"/>
        <w:jc w:val="both"/>
        <w:rPr>
          <w:sz w:val="22"/>
        </w:rPr>
      </w:pPr>
      <w:r w:rsidRPr="00BE3C7D">
        <w:rPr>
          <w:sz w:val="22"/>
        </w:rPr>
        <w:t>P</w:t>
      </w:r>
      <w:r w:rsidR="00766EDA" w:rsidRPr="00BE3C7D">
        <w:rPr>
          <w:sz w:val="22"/>
        </w:rPr>
        <w:t xml:space="preserve">rotokol o škodě, </w:t>
      </w:r>
      <w:r w:rsidR="00C85BE3" w:rsidRPr="00BE3C7D">
        <w:rPr>
          <w:sz w:val="22"/>
        </w:rPr>
        <w:t>který</w:t>
      </w:r>
      <w:r w:rsidRPr="00BE3C7D">
        <w:rPr>
          <w:sz w:val="22"/>
        </w:rPr>
        <w:t xml:space="preserve"> je součástí záznamu a který</w:t>
      </w:r>
      <w:r w:rsidR="00C85BE3" w:rsidRPr="00BE3C7D">
        <w:rPr>
          <w:sz w:val="22"/>
        </w:rPr>
        <w:t xml:space="preserve"> se vyhotovuje</w:t>
      </w:r>
      <w:r w:rsidRPr="00BE3C7D">
        <w:rPr>
          <w:sz w:val="22"/>
        </w:rPr>
        <w:t xml:space="preserve"> v případě, že </w:t>
      </w:r>
      <w:r w:rsidR="00C85BE3" w:rsidRPr="00BE3C7D">
        <w:rPr>
          <w:sz w:val="22"/>
        </w:rPr>
        <w:t>dojd</w:t>
      </w:r>
      <w:r w:rsidRPr="00BE3C7D">
        <w:rPr>
          <w:sz w:val="22"/>
        </w:rPr>
        <w:t>e</w:t>
      </w:r>
      <w:r w:rsidR="00C85BE3" w:rsidRPr="00BE3C7D">
        <w:rPr>
          <w:sz w:val="22"/>
        </w:rPr>
        <w:t xml:space="preserve"> ke vzniku škody způsobené zaměstnancem</w:t>
      </w:r>
      <w:r w:rsidR="009929D4" w:rsidRPr="00BE3C7D">
        <w:rPr>
          <w:sz w:val="22"/>
        </w:rPr>
        <w:t xml:space="preserve"> a</w:t>
      </w:r>
      <w:r w:rsidR="00766EDA" w:rsidRPr="00BE3C7D">
        <w:rPr>
          <w:sz w:val="22"/>
        </w:rPr>
        <w:t xml:space="preserve"> musí obsahovat </w:t>
      </w:r>
      <w:r w:rsidRPr="00BE3C7D">
        <w:rPr>
          <w:sz w:val="22"/>
        </w:rPr>
        <w:t>alespoň</w:t>
      </w:r>
      <w:r w:rsidR="00766EDA" w:rsidRPr="00BE3C7D">
        <w:rPr>
          <w:sz w:val="22"/>
        </w:rPr>
        <w:t xml:space="preserve"> tyto skutečnosti:</w:t>
      </w:r>
    </w:p>
    <w:p w:rsidR="00766EDA" w:rsidRPr="00BE3C7D" w:rsidRDefault="00766EDA" w:rsidP="00766EDA">
      <w:pPr>
        <w:numPr>
          <w:ilvl w:val="1"/>
          <w:numId w:val="10"/>
        </w:numPr>
        <w:spacing w:before="120"/>
        <w:ind w:left="681" w:hanging="284"/>
        <w:jc w:val="both"/>
        <w:rPr>
          <w:sz w:val="22"/>
        </w:rPr>
      </w:pPr>
      <w:r w:rsidRPr="00BE3C7D">
        <w:rPr>
          <w:sz w:val="22"/>
        </w:rPr>
        <w:t>skutečn</w:t>
      </w:r>
      <w:r w:rsidR="00CE6DE9" w:rsidRPr="00BE3C7D">
        <w:rPr>
          <w:sz w:val="22"/>
        </w:rPr>
        <w:t>ou</w:t>
      </w:r>
      <w:r w:rsidRPr="00BE3C7D">
        <w:rPr>
          <w:sz w:val="22"/>
        </w:rPr>
        <w:t xml:space="preserve"> nebo pravděpodobn</w:t>
      </w:r>
      <w:r w:rsidR="00CE6DE9" w:rsidRPr="00BE3C7D">
        <w:rPr>
          <w:sz w:val="22"/>
        </w:rPr>
        <w:t>ou</w:t>
      </w:r>
      <w:r w:rsidRPr="00BE3C7D">
        <w:rPr>
          <w:sz w:val="22"/>
        </w:rPr>
        <w:t xml:space="preserve"> příčin</w:t>
      </w:r>
      <w:r w:rsidR="00CE6DE9" w:rsidRPr="00BE3C7D">
        <w:rPr>
          <w:sz w:val="22"/>
        </w:rPr>
        <w:t>u vzniku</w:t>
      </w:r>
      <w:r w:rsidRPr="00BE3C7D">
        <w:rPr>
          <w:sz w:val="22"/>
        </w:rPr>
        <w:t xml:space="preserve"> škody</w:t>
      </w:r>
      <w:r w:rsidR="0075364E" w:rsidRPr="00BE3C7D">
        <w:rPr>
          <w:sz w:val="22"/>
        </w:rPr>
        <w:t xml:space="preserve"> způsobené zaměstnancem</w:t>
      </w:r>
      <w:r w:rsidRPr="00BE3C7D">
        <w:rPr>
          <w:sz w:val="22"/>
        </w:rPr>
        <w:t>,</w:t>
      </w:r>
    </w:p>
    <w:p w:rsidR="00766EDA" w:rsidRPr="00BE3C7D" w:rsidRDefault="00766EDA" w:rsidP="00766EDA">
      <w:pPr>
        <w:numPr>
          <w:ilvl w:val="1"/>
          <w:numId w:val="10"/>
        </w:numPr>
        <w:spacing w:before="120"/>
        <w:ind w:left="681" w:hanging="284"/>
        <w:jc w:val="both"/>
        <w:rPr>
          <w:sz w:val="22"/>
        </w:rPr>
      </w:pPr>
      <w:r w:rsidRPr="00BE3C7D">
        <w:rPr>
          <w:sz w:val="22"/>
        </w:rPr>
        <w:t>určení osoby</w:t>
      </w:r>
      <w:r w:rsidR="00CE6DE9" w:rsidRPr="00BE3C7D">
        <w:rPr>
          <w:sz w:val="22"/>
        </w:rPr>
        <w:t>/osob</w:t>
      </w:r>
      <w:r w:rsidRPr="00BE3C7D">
        <w:rPr>
          <w:sz w:val="22"/>
        </w:rPr>
        <w:t xml:space="preserve"> odpovědné</w:t>
      </w:r>
      <w:r w:rsidR="00CE6DE9" w:rsidRPr="00BE3C7D">
        <w:rPr>
          <w:sz w:val="22"/>
        </w:rPr>
        <w:t>/odpovědných</w:t>
      </w:r>
      <w:r w:rsidRPr="00BE3C7D">
        <w:rPr>
          <w:sz w:val="22"/>
        </w:rPr>
        <w:t xml:space="preserve"> za škodu</w:t>
      </w:r>
      <w:r w:rsidR="0075364E" w:rsidRPr="00BE3C7D">
        <w:rPr>
          <w:sz w:val="22"/>
        </w:rPr>
        <w:t xml:space="preserve"> způsobenou zaměstnancem</w:t>
      </w:r>
      <w:r w:rsidRPr="00BE3C7D">
        <w:rPr>
          <w:sz w:val="22"/>
        </w:rPr>
        <w:t xml:space="preserve">, </w:t>
      </w:r>
    </w:p>
    <w:p w:rsidR="00766EDA" w:rsidRPr="00BE3C7D" w:rsidRDefault="00766EDA" w:rsidP="00766EDA">
      <w:pPr>
        <w:numPr>
          <w:ilvl w:val="1"/>
          <w:numId w:val="10"/>
        </w:numPr>
        <w:spacing w:before="120"/>
        <w:ind w:left="681" w:hanging="284"/>
        <w:jc w:val="both"/>
        <w:rPr>
          <w:sz w:val="22"/>
        </w:rPr>
      </w:pPr>
      <w:r w:rsidRPr="00BE3C7D">
        <w:rPr>
          <w:sz w:val="22"/>
        </w:rPr>
        <w:t>návrh na likvidaci škody</w:t>
      </w:r>
      <w:r w:rsidR="0075364E" w:rsidRPr="00BE3C7D">
        <w:rPr>
          <w:sz w:val="22"/>
        </w:rPr>
        <w:t xml:space="preserve"> způsobené zaměstnancem</w:t>
      </w:r>
      <w:r w:rsidRPr="00BE3C7D">
        <w:rPr>
          <w:sz w:val="22"/>
        </w:rPr>
        <w:t>,</w:t>
      </w:r>
    </w:p>
    <w:p w:rsidR="00766EDA" w:rsidRPr="00BE3C7D" w:rsidRDefault="00766EDA" w:rsidP="00766EDA">
      <w:pPr>
        <w:numPr>
          <w:ilvl w:val="1"/>
          <w:numId w:val="10"/>
        </w:numPr>
        <w:spacing w:before="120"/>
        <w:ind w:left="681" w:hanging="284"/>
        <w:jc w:val="both"/>
        <w:rPr>
          <w:sz w:val="22"/>
        </w:rPr>
      </w:pPr>
      <w:r w:rsidRPr="00BE3C7D">
        <w:rPr>
          <w:sz w:val="22"/>
        </w:rPr>
        <w:t>datum vyhotovení</w:t>
      </w:r>
      <w:r w:rsidR="00CE6DE9" w:rsidRPr="00BE3C7D">
        <w:rPr>
          <w:sz w:val="22"/>
        </w:rPr>
        <w:t xml:space="preserve"> </w:t>
      </w:r>
      <w:r w:rsidRPr="00BE3C7D">
        <w:rPr>
          <w:sz w:val="22"/>
        </w:rPr>
        <w:t>protokolu o škodě</w:t>
      </w:r>
      <w:r w:rsidR="00CE6DE9" w:rsidRPr="00BE3C7D">
        <w:rPr>
          <w:sz w:val="22"/>
        </w:rPr>
        <w:t>, který je součástí záznamu</w:t>
      </w:r>
      <w:r w:rsidRPr="00BE3C7D">
        <w:rPr>
          <w:sz w:val="22"/>
        </w:rPr>
        <w:t xml:space="preserve"> a podpis osoby, která </w:t>
      </w:r>
      <w:r w:rsidR="00CE6DE9" w:rsidRPr="00BE3C7D">
        <w:rPr>
          <w:sz w:val="22"/>
        </w:rPr>
        <w:t xml:space="preserve">jej </w:t>
      </w:r>
      <w:r w:rsidRPr="00BE3C7D">
        <w:rPr>
          <w:sz w:val="22"/>
        </w:rPr>
        <w:t>zpracovala.</w:t>
      </w:r>
    </w:p>
    <w:p w:rsidR="00A44A6E" w:rsidRPr="00BE3C7D" w:rsidRDefault="00C85BE3" w:rsidP="00A44A6E">
      <w:pPr>
        <w:numPr>
          <w:ilvl w:val="0"/>
          <w:numId w:val="10"/>
        </w:numPr>
        <w:spacing w:before="240"/>
        <w:jc w:val="both"/>
        <w:rPr>
          <w:sz w:val="22"/>
        </w:rPr>
      </w:pPr>
      <w:r w:rsidRPr="00BE3C7D">
        <w:rPr>
          <w:sz w:val="22"/>
        </w:rPr>
        <w:t>Záznam, obsahující p</w:t>
      </w:r>
      <w:r w:rsidR="00766EDA" w:rsidRPr="00BE3C7D">
        <w:rPr>
          <w:sz w:val="22"/>
        </w:rPr>
        <w:t xml:space="preserve">rotokol o škodě vyhotoví k tomu příslušná osoba dle odst. </w:t>
      </w:r>
      <w:r w:rsidR="00E24FBF">
        <w:rPr>
          <w:sz w:val="22"/>
        </w:rPr>
        <w:t>3</w:t>
      </w:r>
      <w:r w:rsidR="00766EDA" w:rsidRPr="00BE3C7D">
        <w:rPr>
          <w:sz w:val="22"/>
        </w:rPr>
        <w:t xml:space="preserve"> tohoto článku v termínu nejdéle </w:t>
      </w:r>
      <w:r w:rsidR="00D536D6" w:rsidRPr="00BE3C7D">
        <w:rPr>
          <w:sz w:val="22"/>
        </w:rPr>
        <w:t>2</w:t>
      </w:r>
      <w:r w:rsidR="00766EDA" w:rsidRPr="00BE3C7D">
        <w:rPr>
          <w:sz w:val="22"/>
        </w:rPr>
        <w:t xml:space="preserve">0 pracovních dnů od rozhodného okamžiku vzniku škody </w:t>
      </w:r>
      <w:r w:rsidR="0075364E" w:rsidRPr="00BE3C7D">
        <w:rPr>
          <w:sz w:val="22"/>
        </w:rPr>
        <w:t>způsobené zaměstnancem</w:t>
      </w:r>
      <w:r w:rsidR="000E1FC9">
        <w:rPr>
          <w:sz w:val="22"/>
        </w:rPr>
        <w:t>, tento následně</w:t>
      </w:r>
      <w:r w:rsidR="000E1FC9" w:rsidRPr="00BE3C7D">
        <w:rPr>
          <w:sz w:val="22"/>
        </w:rPr>
        <w:t xml:space="preserve"> předá prostřednictvím</w:t>
      </w:r>
      <w:r w:rsidR="000E1FC9">
        <w:rPr>
          <w:sz w:val="22"/>
        </w:rPr>
        <w:t xml:space="preserve"> eSSL Athena</w:t>
      </w:r>
      <w:r w:rsidR="000E1FC9" w:rsidRPr="00BE3C7D">
        <w:rPr>
          <w:sz w:val="22"/>
        </w:rPr>
        <w:t xml:space="preserve"> včetně kompletní podkladové dokumentace odboru finančnímu</w:t>
      </w:r>
      <w:r w:rsidR="000E1FC9">
        <w:rPr>
          <w:sz w:val="22"/>
        </w:rPr>
        <w:t xml:space="preserve">, a to </w:t>
      </w:r>
      <w:r w:rsidR="00766EDA" w:rsidRPr="00BE3C7D">
        <w:rPr>
          <w:sz w:val="22"/>
        </w:rPr>
        <w:t>do</w:t>
      </w:r>
      <w:r w:rsidR="00527E48">
        <w:rPr>
          <w:sz w:val="22"/>
        </w:rPr>
        <w:t xml:space="preserve"> dvou</w:t>
      </w:r>
      <w:r w:rsidR="00766EDA" w:rsidRPr="00BE3C7D">
        <w:rPr>
          <w:sz w:val="22"/>
        </w:rPr>
        <w:t xml:space="preserve"> pracovních dnů ode dne, kdy byl </w:t>
      </w:r>
      <w:r w:rsidR="00B03323">
        <w:rPr>
          <w:sz w:val="22"/>
        </w:rPr>
        <w:t>z</w:t>
      </w:r>
      <w:r w:rsidR="000E1FC9">
        <w:rPr>
          <w:sz w:val="22"/>
        </w:rPr>
        <w:t>áznam obsahující protokol o škodě</w:t>
      </w:r>
      <w:r w:rsidR="00766EDA" w:rsidRPr="00BE3C7D">
        <w:rPr>
          <w:sz w:val="22"/>
        </w:rPr>
        <w:t xml:space="preserve"> vyhotoven. </w:t>
      </w:r>
      <w:r w:rsidR="00A44A6E" w:rsidRPr="00BE3C7D">
        <w:rPr>
          <w:sz w:val="22"/>
        </w:rPr>
        <w:t xml:space="preserve">Zaměstnanci kraje, kteří vykonávali či vykonávají věcně příslušnou agendu, které se škodní případ týká, jsou osobám specifikovaným v odst. </w:t>
      </w:r>
      <w:r w:rsidR="00431146">
        <w:rPr>
          <w:sz w:val="22"/>
        </w:rPr>
        <w:t xml:space="preserve">3 </w:t>
      </w:r>
      <w:r w:rsidR="00A44A6E" w:rsidRPr="00BE3C7D">
        <w:rPr>
          <w:sz w:val="22"/>
        </w:rPr>
        <w:t>tohoto článku povinni poskytnout součinnost spočívající zejména v identifikaci a popisu skutkového stavu daného případu včetně označení relevantních písemností, přičemž tyto informace zaznamenají osoby vyzvané k povinné součinnosti písemně do</w:t>
      </w:r>
      <w:r w:rsidR="008A03CB">
        <w:rPr>
          <w:sz w:val="22"/>
        </w:rPr>
        <w:t xml:space="preserve"> záznamu</w:t>
      </w:r>
      <w:r w:rsidR="00C54C3C" w:rsidRPr="00BE3C7D">
        <w:rPr>
          <w:sz w:val="22"/>
        </w:rPr>
        <w:t xml:space="preserve"> tak, aby byla dodržena lhůta stanovená tímto </w:t>
      </w:r>
      <w:r w:rsidR="008A03CB">
        <w:rPr>
          <w:sz w:val="22"/>
        </w:rPr>
        <w:t>článkem</w:t>
      </w:r>
      <w:r w:rsidR="00C54C3C" w:rsidRPr="00BE3C7D">
        <w:rPr>
          <w:sz w:val="22"/>
        </w:rPr>
        <w:t xml:space="preserve"> pro osoby příslušné k</w:t>
      </w:r>
      <w:r w:rsidRPr="00BE3C7D">
        <w:rPr>
          <w:sz w:val="22"/>
        </w:rPr>
        <w:t> </w:t>
      </w:r>
      <w:r w:rsidR="00C54C3C" w:rsidRPr="00BE3C7D">
        <w:rPr>
          <w:sz w:val="22"/>
        </w:rPr>
        <w:t>vyhotovení</w:t>
      </w:r>
      <w:r w:rsidRPr="00BE3C7D">
        <w:rPr>
          <w:sz w:val="22"/>
        </w:rPr>
        <w:t xml:space="preserve"> záznamu včetně</w:t>
      </w:r>
      <w:r w:rsidR="00C54C3C" w:rsidRPr="00BE3C7D">
        <w:rPr>
          <w:sz w:val="22"/>
        </w:rPr>
        <w:t xml:space="preserve"> protokolu o škodě</w:t>
      </w:r>
      <w:r w:rsidR="00A44A6E" w:rsidRPr="00BE3C7D">
        <w:rPr>
          <w:sz w:val="22"/>
        </w:rPr>
        <w:t>.</w:t>
      </w:r>
    </w:p>
    <w:p w:rsidR="00766EDA" w:rsidRPr="00BE3C7D" w:rsidRDefault="00766EDA" w:rsidP="00766EDA">
      <w:pPr>
        <w:numPr>
          <w:ilvl w:val="0"/>
          <w:numId w:val="10"/>
        </w:numPr>
        <w:spacing w:before="240"/>
        <w:jc w:val="both"/>
        <w:rPr>
          <w:color w:val="000000"/>
          <w:sz w:val="22"/>
          <w:szCs w:val="22"/>
        </w:rPr>
      </w:pPr>
      <w:r w:rsidRPr="00BE3C7D">
        <w:rPr>
          <w:sz w:val="22"/>
        </w:rPr>
        <w:t>Výši náhrady škody</w:t>
      </w:r>
      <w:r w:rsidR="0075364E" w:rsidRPr="00BE3C7D">
        <w:rPr>
          <w:sz w:val="22"/>
        </w:rPr>
        <w:t xml:space="preserve"> způsobené zaměstnancem</w:t>
      </w:r>
      <w:r w:rsidRPr="00BE3C7D">
        <w:rPr>
          <w:sz w:val="22"/>
        </w:rPr>
        <w:t>, kterou bude zaměstnavatel po zaměstnanci požadovat, určuje zaměstnavatel dle článku VI. tohoto předpisu v souladu s obecně závaznými právními předpisy a</w:t>
      </w:r>
      <w:r w:rsidR="00B65B4F">
        <w:rPr>
          <w:sz w:val="22"/>
        </w:rPr>
        <w:t> </w:t>
      </w:r>
      <w:r w:rsidRPr="00BE3C7D">
        <w:rPr>
          <w:sz w:val="22"/>
        </w:rPr>
        <w:t>přílohou č. 2 předpisu upravující rozsah poskytování náhrady škody v případě, že se jedná o škody na</w:t>
      </w:r>
      <w:r w:rsidR="00B65B4F">
        <w:rPr>
          <w:sz w:val="22"/>
        </w:rPr>
        <w:t> </w:t>
      </w:r>
      <w:r w:rsidRPr="00BE3C7D">
        <w:rPr>
          <w:sz w:val="22"/>
        </w:rPr>
        <w:t xml:space="preserve">hmotném majetku. </w:t>
      </w:r>
    </w:p>
    <w:p w:rsidR="00766EDA" w:rsidRPr="00BE3C7D" w:rsidRDefault="00766EDA" w:rsidP="00766EDA">
      <w:pPr>
        <w:numPr>
          <w:ilvl w:val="0"/>
          <w:numId w:val="10"/>
        </w:numPr>
        <w:spacing w:before="240"/>
        <w:jc w:val="both"/>
        <w:rPr>
          <w:color w:val="000000"/>
          <w:sz w:val="22"/>
          <w:szCs w:val="22"/>
        </w:rPr>
      </w:pPr>
      <w:r w:rsidRPr="00BE3C7D">
        <w:rPr>
          <w:sz w:val="22"/>
        </w:rPr>
        <w:t xml:space="preserve">Výši požadované náhrady škody </w:t>
      </w:r>
      <w:r w:rsidR="0075364E" w:rsidRPr="00BE3C7D">
        <w:rPr>
          <w:sz w:val="22"/>
        </w:rPr>
        <w:t xml:space="preserve">způsobené zaměstnancem </w:t>
      </w:r>
      <w:r w:rsidRPr="00BE3C7D">
        <w:rPr>
          <w:sz w:val="22"/>
        </w:rPr>
        <w:t>je zaměstnavatel se zaměstnancem povinen projednat a písemně mu ji oznámit zpravidla nejdéle do 1 měsíce, ode dne zjištění, že škoda</w:t>
      </w:r>
      <w:r w:rsidR="0075364E" w:rsidRPr="00BE3C7D">
        <w:rPr>
          <w:sz w:val="22"/>
        </w:rPr>
        <w:t xml:space="preserve"> způsoben</w:t>
      </w:r>
      <w:r w:rsidR="00C85BE3" w:rsidRPr="00BE3C7D">
        <w:rPr>
          <w:sz w:val="22"/>
        </w:rPr>
        <w:t>á</w:t>
      </w:r>
      <w:r w:rsidR="0075364E" w:rsidRPr="00BE3C7D">
        <w:rPr>
          <w:sz w:val="22"/>
        </w:rPr>
        <w:t xml:space="preserve"> zaměstnancem</w:t>
      </w:r>
      <w:r w:rsidRPr="00BE3C7D">
        <w:rPr>
          <w:sz w:val="22"/>
        </w:rPr>
        <w:t xml:space="preserve"> vznikla, a že je zaměstnanec povinen ji nahradit. Zaměstnavatel za tímto účelem podá zaměstnanci informaci o vzniku škody</w:t>
      </w:r>
      <w:r w:rsidR="0075364E" w:rsidRPr="00BE3C7D">
        <w:rPr>
          <w:sz w:val="22"/>
        </w:rPr>
        <w:t xml:space="preserve"> způsobené zaměstnancem</w:t>
      </w:r>
      <w:r w:rsidRPr="00BE3C7D">
        <w:rPr>
          <w:sz w:val="22"/>
        </w:rPr>
        <w:t xml:space="preserve"> v souladu s přílohou č. 3 předpisu. Podání informace zaměstnanci o vzniku škody</w:t>
      </w:r>
      <w:r w:rsidR="0075364E" w:rsidRPr="00BE3C7D">
        <w:rPr>
          <w:sz w:val="22"/>
        </w:rPr>
        <w:t xml:space="preserve"> způsobené zaměstnancem</w:t>
      </w:r>
      <w:r w:rsidRPr="00BE3C7D">
        <w:rPr>
          <w:sz w:val="22"/>
        </w:rPr>
        <w:t xml:space="preserve">, včetně projednání škody </w:t>
      </w:r>
      <w:r w:rsidR="0075364E" w:rsidRPr="00BE3C7D">
        <w:rPr>
          <w:sz w:val="22"/>
        </w:rPr>
        <w:t xml:space="preserve">způsobené zaměstnancem </w:t>
      </w:r>
      <w:r w:rsidRPr="00BE3C7D">
        <w:rPr>
          <w:sz w:val="22"/>
        </w:rPr>
        <w:t>se zaměstnancem zajišťuje vedoucí finančního odboru, popř. vedoucí projektu</w:t>
      </w:r>
      <w:r w:rsidR="008E7777" w:rsidRPr="00BE3C7D">
        <w:rPr>
          <w:sz w:val="22"/>
        </w:rPr>
        <w:t>,</w:t>
      </w:r>
      <w:r w:rsidR="00D536D6" w:rsidRPr="00BE3C7D">
        <w:rPr>
          <w:sz w:val="22"/>
        </w:rPr>
        <w:t xml:space="preserve"> ředitelka krajského úřadu v případě, že škodu způsobí vedoucí finančního odboru</w:t>
      </w:r>
      <w:r w:rsidR="00C45EE4">
        <w:rPr>
          <w:sz w:val="22"/>
        </w:rPr>
        <w:t xml:space="preserve">, </w:t>
      </w:r>
      <w:r w:rsidR="008E7777" w:rsidRPr="00BE3C7D">
        <w:rPr>
          <w:sz w:val="22"/>
        </w:rPr>
        <w:t xml:space="preserve">hejtman kraje, způsobí-li škodu </w:t>
      </w:r>
      <w:r w:rsidR="001E7FE9">
        <w:rPr>
          <w:sz w:val="22"/>
        </w:rPr>
        <w:t xml:space="preserve">člen zastupitelstva nebo </w:t>
      </w:r>
      <w:r w:rsidR="008E7777" w:rsidRPr="00BE3C7D">
        <w:rPr>
          <w:sz w:val="22"/>
        </w:rPr>
        <w:t>ředitelka krajského úřadu</w:t>
      </w:r>
      <w:r w:rsidR="00C45EE4">
        <w:rPr>
          <w:sz w:val="22"/>
        </w:rPr>
        <w:t xml:space="preserve"> a</w:t>
      </w:r>
      <w:r w:rsidR="001E7FE9">
        <w:rPr>
          <w:sz w:val="22"/>
        </w:rPr>
        <w:t xml:space="preserve"> zástupce hejtmana, způsobí-li škodu hejtman kraje</w:t>
      </w:r>
      <w:r w:rsidRPr="00BE3C7D">
        <w:rPr>
          <w:sz w:val="22"/>
        </w:rPr>
        <w:t>.</w:t>
      </w:r>
      <w:r w:rsidR="00D536D6" w:rsidRPr="00BE3C7D">
        <w:rPr>
          <w:sz w:val="22"/>
        </w:rPr>
        <w:t xml:space="preserve"> Zaměstnanec bude obdobným způsobem informován zaměstnavatelem, resp. k tomu určenými osobami i v případě, že po něm po projednání škodního případu zaměstnavatel nebude náhradu škody požadovat.</w:t>
      </w:r>
    </w:p>
    <w:p w:rsidR="00C61009" w:rsidRDefault="00C61009" w:rsidP="00275153">
      <w:pPr>
        <w:jc w:val="center"/>
        <w:outlineLvl w:val="2"/>
        <w:rPr>
          <w:b/>
          <w:sz w:val="22"/>
          <w:szCs w:val="22"/>
        </w:rPr>
      </w:pPr>
    </w:p>
    <w:p w:rsidR="009F7CE7" w:rsidRDefault="009F7CE7" w:rsidP="00275153">
      <w:pPr>
        <w:jc w:val="center"/>
        <w:outlineLvl w:val="2"/>
        <w:rPr>
          <w:b/>
          <w:sz w:val="22"/>
          <w:szCs w:val="22"/>
        </w:rPr>
      </w:pPr>
    </w:p>
    <w:p w:rsidR="00766EDA" w:rsidRPr="00275153" w:rsidRDefault="00766EDA" w:rsidP="00275153">
      <w:pPr>
        <w:jc w:val="center"/>
        <w:outlineLvl w:val="2"/>
        <w:rPr>
          <w:b/>
          <w:sz w:val="22"/>
          <w:szCs w:val="22"/>
        </w:rPr>
      </w:pPr>
      <w:bookmarkStart w:id="68" w:name="_Toc89843562"/>
      <w:r w:rsidRPr="00275153">
        <w:rPr>
          <w:b/>
          <w:sz w:val="22"/>
          <w:szCs w:val="22"/>
        </w:rPr>
        <w:t>Čl. VIII.</w:t>
      </w:r>
      <w:r w:rsidR="00076F8D" w:rsidRPr="00275153">
        <w:rPr>
          <w:b/>
          <w:sz w:val="22"/>
          <w:szCs w:val="22"/>
        </w:rPr>
        <w:t xml:space="preserve"> </w:t>
      </w:r>
      <w:r w:rsidRPr="00275153">
        <w:rPr>
          <w:b/>
          <w:sz w:val="22"/>
          <w:szCs w:val="22"/>
        </w:rPr>
        <w:t xml:space="preserve">Administrace škodních případů </w:t>
      </w:r>
      <w:r w:rsidR="00A3638E" w:rsidRPr="00275153">
        <w:rPr>
          <w:b/>
          <w:sz w:val="22"/>
          <w:szCs w:val="22"/>
        </w:rPr>
        <w:t xml:space="preserve">kraje </w:t>
      </w:r>
      <w:r w:rsidRPr="00275153">
        <w:rPr>
          <w:b/>
          <w:sz w:val="22"/>
          <w:szCs w:val="22"/>
        </w:rPr>
        <w:t>do 10.000</w:t>
      </w:r>
      <w:r w:rsidR="00654B3B">
        <w:rPr>
          <w:b/>
          <w:sz w:val="22"/>
          <w:szCs w:val="22"/>
        </w:rPr>
        <w:t>,00</w:t>
      </w:r>
      <w:r w:rsidRPr="00275153">
        <w:rPr>
          <w:b/>
          <w:sz w:val="22"/>
          <w:szCs w:val="22"/>
        </w:rPr>
        <w:t xml:space="preserve"> Kč</w:t>
      </w:r>
      <w:bookmarkEnd w:id="68"/>
    </w:p>
    <w:p w:rsidR="00167DE8" w:rsidRPr="00BE3C7D" w:rsidRDefault="00766EDA" w:rsidP="006E573B">
      <w:pPr>
        <w:numPr>
          <w:ilvl w:val="0"/>
          <w:numId w:val="11"/>
        </w:numPr>
        <w:spacing w:before="240"/>
        <w:ind w:left="360"/>
        <w:jc w:val="both"/>
        <w:rPr>
          <w:sz w:val="22"/>
        </w:rPr>
      </w:pPr>
      <w:r w:rsidRPr="006E573B">
        <w:rPr>
          <w:sz w:val="22"/>
        </w:rPr>
        <w:t>Nepřesáhne-li výše škody (i předpokládané) částku 10.000</w:t>
      </w:r>
      <w:r w:rsidR="00654B3B">
        <w:rPr>
          <w:sz w:val="22"/>
        </w:rPr>
        <w:t>,00</w:t>
      </w:r>
      <w:r w:rsidRPr="006E573B">
        <w:rPr>
          <w:sz w:val="22"/>
        </w:rPr>
        <w:t xml:space="preserve"> Kč, je k administraci případů odpovědnosti za škodu vzniklou zaměstnavateli </w:t>
      </w:r>
      <w:r w:rsidR="0075364E" w:rsidRPr="00BE3C7D">
        <w:rPr>
          <w:sz w:val="22"/>
        </w:rPr>
        <w:t xml:space="preserve">zaměstnancem </w:t>
      </w:r>
      <w:r w:rsidRPr="00BE3C7D">
        <w:rPr>
          <w:sz w:val="22"/>
        </w:rPr>
        <w:t>ve smyslu příslušných ustanovení zákoníku práce</w:t>
      </w:r>
      <w:r w:rsidR="00A3638E" w:rsidRPr="00BE3C7D">
        <w:rPr>
          <w:sz w:val="22"/>
        </w:rPr>
        <w:t xml:space="preserve"> </w:t>
      </w:r>
      <w:r w:rsidRPr="00BE3C7D">
        <w:rPr>
          <w:sz w:val="22"/>
        </w:rPr>
        <w:t>a</w:t>
      </w:r>
      <w:r w:rsidR="00B65B4F">
        <w:rPr>
          <w:sz w:val="22"/>
        </w:rPr>
        <w:t> </w:t>
      </w:r>
      <w:r w:rsidRPr="00BE3C7D">
        <w:rPr>
          <w:sz w:val="22"/>
        </w:rPr>
        <w:t>finančních postihů souvisejících s projekty, jakož i k vydávání rozhodnutí zaměstnavatele o úhradě škody způsobené zaměstnancem</w:t>
      </w:r>
      <w:r w:rsidR="00EB0188">
        <w:rPr>
          <w:sz w:val="22"/>
        </w:rPr>
        <w:t>,</w:t>
      </w:r>
      <w:r w:rsidRPr="00BE3C7D">
        <w:rPr>
          <w:sz w:val="22"/>
        </w:rPr>
        <w:t xml:space="preserve"> </w:t>
      </w:r>
      <w:r w:rsidRPr="004133E3">
        <w:rPr>
          <w:sz w:val="22"/>
        </w:rPr>
        <w:t xml:space="preserve">zmocněn </w:t>
      </w:r>
      <w:r w:rsidR="0089052C" w:rsidRPr="004133E3">
        <w:rPr>
          <w:sz w:val="22"/>
        </w:rPr>
        <w:t xml:space="preserve">ředitelkou krajského úřadu </w:t>
      </w:r>
      <w:r w:rsidRPr="004133E3">
        <w:rPr>
          <w:sz w:val="22"/>
        </w:rPr>
        <w:t>vedoucí finančního odboru, ledaže by škodu způsobil sám.</w:t>
      </w:r>
      <w:r w:rsidR="0075364E" w:rsidRPr="004133E3">
        <w:rPr>
          <w:sz w:val="22"/>
        </w:rPr>
        <w:t xml:space="preserve"> </w:t>
      </w:r>
      <w:r w:rsidRPr="004133E3">
        <w:rPr>
          <w:sz w:val="22"/>
        </w:rPr>
        <w:t>V případě, že škodu způsobí vedoucí finančního odboru</w:t>
      </w:r>
      <w:r w:rsidR="00B45636" w:rsidRPr="004133E3">
        <w:rPr>
          <w:sz w:val="22"/>
        </w:rPr>
        <w:t>,</w:t>
      </w:r>
      <w:r w:rsidR="000F4FA2" w:rsidRPr="004133E3">
        <w:rPr>
          <w:sz w:val="22"/>
        </w:rPr>
        <w:t xml:space="preserve"> vydává rozhodnutí</w:t>
      </w:r>
      <w:r w:rsidRPr="004133E3">
        <w:rPr>
          <w:sz w:val="22"/>
        </w:rPr>
        <w:t xml:space="preserve"> zaměstnavatele o úhradě škody způsobené zaměstnancem</w:t>
      </w:r>
      <w:r w:rsidR="00B45636" w:rsidRPr="004133E3">
        <w:rPr>
          <w:sz w:val="22"/>
        </w:rPr>
        <w:t xml:space="preserve"> ředitelka krajského úřadu</w:t>
      </w:r>
      <w:r w:rsidRPr="004133E3">
        <w:rPr>
          <w:sz w:val="22"/>
        </w:rPr>
        <w:t>. Způsobí-l</w:t>
      </w:r>
      <w:r w:rsidR="00B45636" w:rsidRPr="004133E3">
        <w:rPr>
          <w:sz w:val="22"/>
        </w:rPr>
        <w:t>i</w:t>
      </w:r>
      <w:r w:rsidRPr="004133E3">
        <w:rPr>
          <w:sz w:val="22"/>
        </w:rPr>
        <w:t xml:space="preserve"> škodu</w:t>
      </w:r>
      <w:r w:rsidR="00E834D5" w:rsidRPr="004133E3">
        <w:rPr>
          <w:sz w:val="22"/>
        </w:rPr>
        <w:t xml:space="preserve"> člen zastupitelstva</w:t>
      </w:r>
      <w:r w:rsidR="00E834D5">
        <w:rPr>
          <w:sz w:val="22"/>
        </w:rPr>
        <w:t xml:space="preserve"> nebo</w:t>
      </w:r>
      <w:r w:rsidRPr="00BE3C7D">
        <w:rPr>
          <w:sz w:val="22"/>
        </w:rPr>
        <w:t xml:space="preserve"> ředitelka krajského úřadu, určí vždy výši náhrady škody hejtman</w:t>
      </w:r>
      <w:r w:rsidR="000F4FA2" w:rsidRPr="00BE3C7D">
        <w:rPr>
          <w:sz w:val="22"/>
        </w:rPr>
        <w:t xml:space="preserve"> kraje</w:t>
      </w:r>
      <w:r w:rsidRPr="00BE3C7D">
        <w:rPr>
          <w:rStyle w:val="Znakapoznpodarou"/>
          <w:sz w:val="22"/>
        </w:rPr>
        <w:footnoteReference w:id="10"/>
      </w:r>
      <w:r w:rsidR="002049FA">
        <w:rPr>
          <w:sz w:val="22"/>
        </w:rPr>
        <w:t>.</w:t>
      </w:r>
      <w:r w:rsidR="00162FD0">
        <w:rPr>
          <w:sz w:val="22"/>
        </w:rPr>
        <w:t xml:space="preserve"> V případě, že škodu způsobí hejtman kraje, vydává rozhodnutí zaměstnavatele o úhradě škody způsobené zaměstnancem zástupce hejtmana.</w:t>
      </w:r>
    </w:p>
    <w:p w:rsidR="00766EDA" w:rsidRPr="00BE3C7D" w:rsidRDefault="007B13BB" w:rsidP="006E573B">
      <w:pPr>
        <w:numPr>
          <w:ilvl w:val="0"/>
          <w:numId w:val="11"/>
        </w:numPr>
        <w:spacing w:before="240"/>
        <w:ind w:left="360"/>
        <w:jc w:val="both"/>
        <w:rPr>
          <w:sz w:val="22"/>
        </w:rPr>
      </w:pPr>
      <w:r w:rsidRPr="00BE3C7D">
        <w:rPr>
          <w:sz w:val="22"/>
        </w:rPr>
        <w:t>F</w:t>
      </w:r>
      <w:r w:rsidR="00766EDA" w:rsidRPr="00BE3C7D">
        <w:rPr>
          <w:sz w:val="22"/>
        </w:rPr>
        <w:t xml:space="preserve">inanční odbor vede rovněž centrální evidenci veškerých </w:t>
      </w:r>
      <w:r w:rsidR="0075364E" w:rsidRPr="00BE3C7D">
        <w:rPr>
          <w:sz w:val="22"/>
        </w:rPr>
        <w:t>záznamů</w:t>
      </w:r>
      <w:r w:rsidR="00766EDA" w:rsidRPr="00BE3C7D">
        <w:rPr>
          <w:sz w:val="22"/>
        </w:rPr>
        <w:t>, z níž musí být patrno, kdy, kým a</w:t>
      </w:r>
      <w:r w:rsidR="00B65B4F">
        <w:rPr>
          <w:sz w:val="22"/>
        </w:rPr>
        <w:t> </w:t>
      </w:r>
      <w:r w:rsidR="00766EDA" w:rsidRPr="00BE3C7D">
        <w:rPr>
          <w:sz w:val="22"/>
        </w:rPr>
        <w:t>v jakém rozsahu byla uplatněna náhrada škody</w:t>
      </w:r>
      <w:r w:rsidR="00CB0248" w:rsidRPr="00BE3C7D">
        <w:rPr>
          <w:sz w:val="22"/>
        </w:rPr>
        <w:t xml:space="preserve"> způsobené zaměstnancem</w:t>
      </w:r>
      <w:r w:rsidR="00766EDA" w:rsidRPr="00BE3C7D">
        <w:rPr>
          <w:sz w:val="22"/>
        </w:rPr>
        <w:t xml:space="preserve">, způsob a datum úhrady. Každý jednotlivý </w:t>
      </w:r>
      <w:r w:rsidR="00C85BE3" w:rsidRPr="00BE3C7D">
        <w:rPr>
          <w:sz w:val="22"/>
        </w:rPr>
        <w:t>záznam</w:t>
      </w:r>
      <w:r w:rsidR="00766EDA" w:rsidRPr="00BE3C7D">
        <w:rPr>
          <w:sz w:val="22"/>
        </w:rPr>
        <w:t xml:space="preserve"> </w:t>
      </w:r>
      <w:r w:rsidR="000F4FA2" w:rsidRPr="00BE3C7D">
        <w:rPr>
          <w:sz w:val="22"/>
        </w:rPr>
        <w:t>j</w:t>
      </w:r>
      <w:r w:rsidR="00766EDA" w:rsidRPr="00BE3C7D">
        <w:rPr>
          <w:sz w:val="22"/>
        </w:rPr>
        <w:t>e označen pořadový</w:t>
      </w:r>
      <w:r w:rsidR="000F4FA2" w:rsidRPr="00BE3C7D">
        <w:rPr>
          <w:sz w:val="22"/>
        </w:rPr>
        <w:t>m</w:t>
      </w:r>
      <w:r w:rsidR="00766EDA" w:rsidRPr="00BE3C7D">
        <w:rPr>
          <w:sz w:val="22"/>
        </w:rPr>
        <w:t xml:space="preserve"> číslem a příslušným kalendářním rokem.</w:t>
      </w:r>
    </w:p>
    <w:p w:rsidR="00300B6D" w:rsidRPr="00BE3C7D" w:rsidRDefault="00A34127" w:rsidP="006E573B">
      <w:pPr>
        <w:numPr>
          <w:ilvl w:val="0"/>
          <w:numId w:val="11"/>
        </w:numPr>
        <w:spacing w:before="240"/>
        <w:ind w:left="360"/>
        <w:jc w:val="both"/>
        <w:rPr>
          <w:sz w:val="22"/>
        </w:rPr>
      </w:pPr>
      <w:r w:rsidRPr="00BE3C7D">
        <w:rPr>
          <w:sz w:val="22"/>
        </w:rPr>
        <w:t xml:space="preserve">Finanční odbor </w:t>
      </w:r>
      <w:r w:rsidR="00036980" w:rsidRPr="00BE3C7D">
        <w:rPr>
          <w:sz w:val="22"/>
        </w:rPr>
        <w:t>j</w:t>
      </w:r>
      <w:r w:rsidRPr="00BE3C7D">
        <w:rPr>
          <w:sz w:val="22"/>
        </w:rPr>
        <w:t>e</w:t>
      </w:r>
      <w:r w:rsidR="00036980" w:rsidRPr="00BE3C7D">
        <w:rPr>
          <w:sz w:val="22"/>
        </w:rPr>
        <w:t xml:space="preserve"> oprávněn</w:t>
      </w:r>
      <w:r w:rsidR="00300B6D" w:rsidRPr="00BE3C7D">
        <w:rPr>
          <w:sz w:val="22"/>
        </w:rPr>
        <w:t xml:space="preserve"> provádět</w:t>
      </w:r>
      <w:r w:rsidR="00031CDB" w:rsidRPr="00BE3C7D">
        <w:rPr>
          <w:sz w:val="22"/>
        </w:rPr>
        <w:t xml:space="preserve"> </w:t>
      </w:r>
      <w:r w:rsidR="00170536" w:rsidRPr="00BE3C7D">
        <w:rPr>
          <w:sz w:val="22"/>
        </w:rPr>
        <w:t>odůvodněnou</w:t>
      </w:r>
      <w:r w:rsidR="00300B6D" w:rsidRPr="00BE3C7D">
        <w:rPr>
          <w:sz w:val="22"/>
        </w:rPr>
        <w:t xml:space="preserve"> kontrolu </w:t>
      </w:r>
      <w:r w:rsidR="00A254FB" w:rsidRPr="00BE3C7D">
        <w:rPr>
          <w:sz w:val="22"/>
        </w:rPr>
        <w:t>záznamů</w:t>
      </w:r>
      <w:r w:rsidR="00DB43E6" w:rsidRPr="00BE3C7D">
        <w:rPr>
          <w:sz w:val="22"/>
        </w:rPr>
        <w:t xml:space="preserve">. </w:t>
      </w:r>
      <w:r w:rsidR="00036980" w:rsidRPr="00BE3C7D">
        <w:rPr>
          <w:sz w:val="22"/>
        </w:rPr>
        <w:t>V případě, že</w:t>
      </w:r>
      <w:r w:rsidR="00A4020B" w:rsidRPr="00BE3C7D">
        <w:rPr>
          <w:sz w:val="22"/>
        </w:rPr>
        <w:t xml:space="preserve"> bude</w:t>
      </w:r>
      <w:r w:rsidR="00036980" w:rsidRPr="00BE3C7D">
        <w:rPr>
          <w:sz w:val="22"/>
        </w:rPr>
        <w:t xml:space="preserve"> finanční</w:t>
      </w:r>
      <w:r w:rsidR="00A4020B" w:rsidRPr="00BE3C7D">
        <w:rPr>
          <w:sz w:val="22"/>
        </w:rPr>
        <w:t>m</w:t>
      </w:r>
      <w:r w:rsidR="00036980" w:rsidRPr="00BE3C7D">
        <w:rPr>
          <w:sz w:val="22"/>
        </w:rPr>
        <w:t xml:space="preserve"> odbor</w:t>
      </w:r>
      <w:r w:rsidR="00A4020B" w:rsidRPr="00BE3C7D">
        <w:rPr>
          <w:sz w:val="22"/>
        </w:rPr>
        <w:t>em</w:t>
      </w:r>
      <w:r w:rsidR="00036980" w:rsidRPr="00BE3C7D">
        <w:rPr>
          <w:sz w:val="22"/>
        </w:rPr>
        <w:t xml:space="preserve"> zji</w:t>
      </w:r>
      <w:r w:rsidR="00A4020B" w:rsidRPr="00BE3C7D">
        <w:rPr>
          <w:sz w:val="22"/>
        </w:rPr>
        <w:t>štěno</w:t>
      </w:r>
      <w:r w:rsidR="003B71EE" w:rsidRPr="00BE3C7D">
        <w:rPr>
          <w:sz w:val="22"/>
        </w:rPr>
        <w:t>, že</w:t>
      </w:r>
      <w:r w:rsidR="00036980" w:rsidRPr="00BE3C7D">
        <w:rPr>
          <w:sz w:val="22"/>
        </w:rPr>
        <w:t xml:space="preserve"> při </w:t>
      </w:r>
      <w:r w:rsidR="00DB43E6" w:rsidRPr="00BE3C7D">
        <w:rPr>
          <w:sz w:val="22"/>
        </w:rPr>
        <w:t>vyhotovení</w:t>
      </w:r>
      <w:r w:rsidR="00036980" w:rsidRPr="00BE3C7D">
        <w:rPr>
          <w:sz w:val="22"/>
        </w:rPr>
        <w:t xml:space="preserve"> </w:t>
      </w:r>
      <w:r w:rsidR="00DB43E6" w:rsidRPr="00BE3C7D">
        <w:rPr>
          <w:sz w:val="22"/>
        </w:rPr>
        <w:t>záznamu</w:t>
      </w:r>
      <w:r w:rsidR="003B71EE" w:rsidRPr="00BE3C7D">
        <w:rPr>
          <w:sz w:val="22"/>
        </w:rPr>
        <w:t xml:space="preserve"> došlo k pochybení</w:t>
      </w:r>
      <w:r w:rsidR="00036980" w:rsidRPr="00BE3C7D">
        <w:rPr>
          <w:sz w:val="22"/>
        </w:rPr>
        <w:t>, vyzve písemně</w:t>
      </w:r>
      <w:r w:rsidR="00B03323">
        <w:rPr>
          <w:sz w:val="22"/>
        </w:rPr>
        <w:t xml:space="preserve"> prostřednictvím eSSL Athena </w:t>
      </w:r>
      <w:r w:rsidR="00DB43E6" w:rsidRPr="00BE3C7D">
        <w:rPr>
          <w:sz w:val="22"/>
        </w:rPr>
        <w:t>zpracovatele záznamu</w:t>
      </w:r>
      <w:r w:rsidR="00036980" w:rsidRPr="00BE3C7D">
        <w:rPr>
          <w:sz w:val="22"/>
        </w:rPr>
        <w:t xml:space="preserve"> </w:t>
      </w:r>
      <w:r w:rsidR="00204000" w:rsidRPr="00BE3C7D">
        <w:rPr>
          <w:sz w:val="22"/>
        </w:rPr>
        <w:t>ke</w:t>
      </w:r>
      <w:r w:rsidR="00036980" w:rsidRPr="00BE3C7D">
        <w:rPr>
          <w:sz w:val="22"/>
        </w:rPr>
        <w:t xml:space="preserve"> zjednání nápravy</w:t>
      </w:r>
      <w:r w:rsidR="003B71EE" w:rsidRPr="00BE3C7D">
        <w:rPr>
          <w:sz w:val="22"/>
        </w:rPr>
        <w:t>.</w:t>
      </w:r>
      <w:r w:rsidR="00036980" w:rsidRPr="00BE3C7D">
        <w:rPr>
          <w:sz w:val="22"/>
        </w:rPr>
        <w:t xml:space="preserve"> Nebude-li </w:t>
      </w:r>
      <w:r w:rsidR="003B71EE" w:rsidRPr="00BE3C7D">
        <w:rPr>
          <w:sz w:val="22"/>
        </w:rPr>
        <w:t xml:space="preserve">příslušným </w:t>
      </w:r>
      <w:r w:rsidR="00DB43E6" w:rsidRPr="00BE3C7D">
        <w:rPr>
          <w:sz w:val="22"/>
        </w:rPr>
        <w:t>zpracovatelem záznamu</w:t>
      </w:r>
      <w:r w:rsidR="00036980" w:rsidRPr="00BE3C7D">
        <w:rPr>
          <w:sz w:val="22"/>
        </w:rPr>
        <w:t xml:space="preserve"> náprava zjednána do 20 dnů ode dne doručení výzvy odboru finančního, či pokud zjednání nápravy již nebude možné, </w:t>
      </w:r>
      <w:r w:rsidR="00DB43E6" w:rsidRPr="00BE3C7D">
        <w:rPr>
          <w:sz w:val="22"/>
        </w:rPr>
        <w:t>vyhoto</w:t>
      </w:r>
      <w:r w:rsidR="009929D4" w:rsidRPr="00BE3C7D">
        <w:rPr>
          <w:sz w:val="22"/>
        </w:rPr>
        <w:t>v</w:t>
      </w:r>
      <w:r w:rsidR="00DB43E6" w:rsidRPr="00BE3C7D">
        <w:rPr>
          <w:sz w:val="22"/>
        </w:rPr>
        <w:t xml:space="preserve">í záznam </w:t>
      </w:r>
      <w:r w:rsidR="00036980" w:rsidRPr="00BE3C7D">
        <w:rPr>
          <w:sz w:val="22"/>
        </w:rPr>
        <w:t>odbor finanční. Bude-li</w:t>
      </w:r>
      <w:r w:rsidR="003B71EE" w:rsidRPr="00BE3C7D">
        <w:rPr>
          <w:sz w:val="22"/>
        </w:rPr>
        <w:t xml:space="preserve"> </w:t>
      </w:r>
      <w:r w:rsidR="00DB43E6" w:rsidRPr="00BE3C7D">
        <w:rPr>
          <w:sz w:val="22"/>
        </w:rPr>
        <w:t xml:space="preserve">při vyhotovení záznamu shledána </w:t>
      </w:r>
      <w:r w:rsidR="00036980" w:rsidRPr="00BE3C7D">
        <w:rPr>
          <w:sz w:val="22"/>
        </w:rPr>
        <w:t xml:space="preserve">odborem finančním </w:t>
      </w:r>
      <w:r w:rsidR="003B71EE" w:rsidRPr="00BE3C7D">
        <w:rPr>
          <w:sz w:val="22"/>
        </w:rPr>
        <w:t xml:space="preserve">odpovědnost zaměstnance za vzniklou škodu, avšak </w:t>
      </w:r>
      <w:r w:rsidR="00DB43E6" w:rsidRPr="00BE3C7D">
        <w:rPr>
          <w:sz w:val="22"/>
        </w:rPr>
        <w:t xml:space="preserve">původní zpracovatel záznamu </w:t>
      </w:r>
      <w:r w:rsidR="00FC446F" w:rsidRPr="00BE3C7D">
        <w:rPr>
          <w:sz w:val="22"/>
        </w:rPr>
        <w:t xml:space="preserve">bude považovat </w:t>
      </w:r>
      <w:r w:rsidR="003B71EE" w:rsidRPr="00BE3C7D">
        <w:rPr>
          <w:sz w:val="22"/>
        </w:rPr>
        <w:t xml:space="preserve">dosavadní </w:t>
      </w:r>
      <w:r w:rsidR="00FC446F" w:rsidRPr="00BE3C7D">
        <w:rPr>
          <w:sz w:val="22"/>
        </w:rPr>
        <w:t xml:space="preserve">administraci </w:t>
      </w:r>
      <w:r w:rsidR="00DB43E6" w:rsidRPr="00BE3C7D">
        <w:rPr>
          <w:sz w:val="22"/>
        </w:rPr>
        <w:t>škody</w:t>
      </w:r>
      <w:r w:rsidR="003B71EE" w:rsidRPr="00BE3C7D">
        <w:rPr>
          <w:sz w:val="22"/>
        </w:rPr>
        <w:t xml:space="preserve"> bez určení osoby odpovědné za vzniklou škodu</w:t>
      </w:r>
      <w:r w:rsidR="00FC446F" w:rsidRPr="00BE3C7D">
        <w:rPr>
          <w:sz w:val="22"/>
        </w:rPr>
        <w:t xml:space="preserve"> za bezvadnou, </w:t>
      </w:r>
      <w:r w:rsidR="00036980" w:rsidRPr="00BE3C7D">
        <w:rPr>
          <w:sz w:val="22"/>
        </w:rPr>
        <w:t xml:space="preserve">bude </w:t>
      </w:r>
      <w:r w:rsidR="00DB43E6" w:rsidRPr="00BE3C7D">
        <w:rPr>
          <w:sz w:val="22"/>
        </w:rPr>
        <w:t xml:space="preserve">záznam včetně veškeré podkladové dokumentace </w:t>
      </w:r>
      <w:r w:rsidR="00872128" w:rsidRPr="00BE3C7D">
        <w:rPr>
          <w:sz w:val="22"/>
        </w:rPr>
        <w:t xml:space="preserve">neprodleně </w:t>
      </w:r>
      <w:r w:rsidR="00036980" w:rsidRPr="00BE3C7D">
        <w:rPr>
          <w:sz w:val="22"/>
        </w:rPr>
        <w:t>předán</w:t>
      </w:r>
      <w:r w:rsidR="003D3CC7">
        <w:rPr>
          <w:sz w:val="22"/>
        </w:rPr>
        <w:t xml:space="preserve"> prostřednictvím eSSL Athena </w:t>
      </w:r>
      <w:r w:rsidR="00036980" w:rsidRPr="00BE3C7D">
        <w:rPr>
          <w:sz w:val="22"/>
        </w:rPr>
        <w:t xml:space="preserve"> k</w:t>
      </w:r>
      <w:r w:rsidR="00FC446F" w:rsidRPr="00BE3C7D">
        <w:rPr>
          <w:sz w:val="22"/>
        </w:rPr>
        <w:t xml:space="preserve"> posouzení a administraci </w:t>
      </w:r>
      <w:r w:rsidR="00204000" w:rsidRPr="00BE3C7D">
        <w:rPr>
          <w:sz w:val="22"/>
        </w:rPr>
        <w:t xml:space="preserve">včetně vydání rozhodnutí zaměstnavatele o úhradě škody způsobené zaměstnancem </w:t>
      </w:r>
      <w:r w:rsidR="00036980" w:rsidRPr="00BE3C7D">
        <w:rPr>
          <w:sz w:val="22"/>
        </w:rPr>
        <w:t>vedoucímu odboru legislativního a právního a krajský živnostenský úřad.</w:t>
      </w:r>
      <w:r w:rsidR="00872128" w:rsidRPr="00BE3C7D">
        <w:rPr>
          <w:sz w:val="22"/>
        </w:rPr>
        <w:t xml:space="preserve"> Veškeré shora uvedené </w:t>
      </w:r>
      <w:r w:rsidR="00DB43E6" w:rsidRPr="00BE3C7D">
        <w:rPr>
          <w:sz w:val="22"/>
        </w:rPr>
        <w:t>subjekty</w:t>
      </w:r>
      <w:r w:rsidR="00872128" w:rsidRPr="00BE3C7D">
        <w:rPr>
          <w:sz w:val="22"/>
        </w:rPr>
        <w:t xml:space="preserve"> postupují tak, aby nedošlo k promlčení práva na náhradu škody.</w:t>
      </w:r>
    </w:p>
    <w:p w:rsidR="00766EDA" w:rsidRDefault="00766EDA" w:rsidP="00766EDA">
      <w:pPr>
        <w:numPr>
          <w:ilvl w:val="0"/>
          <w:numId w:val="11"/>
        </w:numPr>
        <w:spacing w:before="240"/>
        <w:ind w:left="360"/>
        <w:jc w:val="both"/>
        <w:rPr>
          <w:sz w:val="22"/>
        </w:rPr>
      </w:pPr>
      <w:r w:rsidRPr="00BE3C7D">
        <w:rPr>
          <w:sz w:val="22"/>
        </w:rPr>
        <w:t>Poté, co zaměstnanec obdrží rozhodnutí zaměstnavatele o úhradě škody způsobené zaměstnancem</w:t>
      </w:r>
      <w:r w:rsidR="006D7A03">
        <w:rPr>
          <w:sz w:val="22"/>
        </w:rPr>
        <w:t xml:space="preserve"> obsahující mimo jiné </w:t>
      </w:r>
      <w:r w:rsidR="0036339F">
        <w:rPr>
          <w:sz w:val="22"/>
        </w:rPr>
        <w:t>popis</w:t>
      </w:r>
      <w:r w:rsidR="006D7A03">
        <w:rPr>
          <w:sz w:val="22"/>
        </w:rPr>
        <w:t xml:space="preserve"> veškerých předpokladů vzniku odpovědnosti za škodu</w:t>
      </w:r>
      <w:r w:rsidR="00B660BB">
        <w:rPr>
          <w:rStyle w:val="Znakapoznpodarou"/>
          <w:sz w:val="22"/>
        </w:rPr>
        <w:footnoteReference w:id="11"/>
      </w:r>
      <w:r w:rsidR="006D7A03">
        <w:rPr>
          <w:sz w:val="22"/>
        </w:rPr>
        <w:t>, tj. porušení pracovních povinností zaměstnance, vznik škody, příčinnou souvislost mezi porušením pracovních povinností a vznikem škody a zavinění na straně zaměstnance</w:t>
      </w:r>
      <w:r w:rsidR="0036339F">
        <w:rPr>
          <w:sz w:val="22"/>
        </w:rPr>
        <w:t xml:space="preserve"> (s výjimkou </w:t>
      </w:r>
      <w:r w:rsidR="00B660BB">
        <w:rPr>
          <w:sz w:val="22"/>
        </w:rPr>
        <w:t>ztráty svěřených věcí</w:t>
      </w:r>
      <w:r w:rsidR="00B660BB">
        <w:rPr>
          <w:rStyle w:val="Znakapoznpodarou"/>
          <w:sz w:val="22"/>
        </w:rPr>
        <w:footnoteReference w:id="12"/>
      </w:r>
      <w:r w:rsidR="00B660BB">
        <w:rPr>
          <w:sz w:val="22"/>
        </w:rPr>
        <w:t xml:space="preserve"> a</w:t>
      </w:r>
      <w:r w:rsidR="00B65B4F">
        <w:rPr>
          <w:sz w:val="22"/>
        </w:rPr>
        <w:t> </w:t>
      </w:r>
      <w:r w:rsidR="0036339F">
        <w:rPr>
          <w:sz w:val="22"/>
        </w:rPr>
        <w:t>případů</w:t>
      </w:r>
      <w:r w:rsidR="00B660BB">
        <w:rPr>
          <w:sz w:val="22"/>
        </w:rPr>
        <w:t>, kdy byla uzavřena dohoda o odpovědnosti za svěřené hodnoty</w:t>
      </w:r>
      <w:r w:rsidR="00B660BB">
        <w:rPr>
          <w:rStyle w:val="Znakapoznpodarou"/>
          <w:sz w:val="22"/>
        </w:rPr>
        <w:footnoteReference w:id="13"/>
      </w:r>
      <w:r w:rsidR="0036339F">
        <w:rPr>
          <w:sz w:val="22"/>
        </w:rPr>
        <w:t>)</w:t>
      </w:r>
      <w:r w:rsidRPr="00327D6A">
        <w:rPr>
          <w:sz w:val="22"/>
        </w:rPr>
        <w:t xml:space="preserve">, škodu bez zbytečného prodlení uhradí, popř. sepíše dohodu o srážkách ze mzdy či dokument o uznání dluhu a o způsobu uhrazení škody, a to ve lhůtě nejpozději do 10 pracovních dnů. </w:t>
      </w:r>
      <w:r w:rsidR="00657808">
        <w:rPr>
          <w:sz w:val="22"/>
        </w:rPr>
        <w:t>Rozhodnutí zaměstnavatele o úhradě škody způsobené zaměstnancem vydané</w:t>
      </w:r>
      <w:r w:rsidR="00657808" w:rsidRPr="0036587B">
        <w:rPr>
          <w:sz w:val="22"/>
        </w:rPr>
        <w:t xml:space="preserve"> </w:t>
      </w:r>
      <w:r w:rsidR="00657808">
        <w:rPr>
          <w:sz w:val="22"/>
        </w:rPr>
        <w:t>ředitelkou krajského úřadu</w:t>
      </w:r>
      <w:r w:rsidR="00E834D5">
        <w:rPr>
          <w:sz w:val="22"/>
        </w:rPr>
        <w:t>,</w:t>
      </w:r>
      <w:r w:rsidR="00657808">
        <w:rPr>
          <w:sz w:val="22"/>
        </w:rPr>
        <w:t xml:space="preserve"> </w:t>
      </w:r>
      <w:r w:rsidR="00657808" w:rsidRPr="009E6EAF">
        <w:rPr>
          <w:sz w:val="22"/>
        </w:rPr>
        <w:t>hejtman</w:t>
      </w:r>
      <w:r w:rsidR="00601D8F" w:rsidRPr="009E6EAF">
        <w:rPr>
          <w:sz w:val="22"/>
        </w:rPr>
        <w:t>em</w:t>
      </w:r>
      <w:r w:rsidR="00657808">
        <w:rPr>
          <w:sz w:val="22"/>
        </w:rPr>
        <w:t xml:space="preserve"> kraje </w:t>
      </w:r>
      <w:r w:rsidR="00E834D5">
        <w:rPr>
          <w:sz w:val="22"/>
        </w:rPr>
        <w:t xml:space="preserve">či jeho zástupcem </w:t>
      </w:r>
      <w:r w:rsidR="00657808">
        <w:rPr>
          <w:sz w:val="22"/>
        </w:rPr>
        <w:t>bude</w:t>
      </w:r>
      <w:r w:rsidR="00455C3E">
        <w:rPr>
          <w:sz w:val="22"/>
        </w:rPr>
        <w:t xml:space="preserve"> </w:t>
      </w:r>
      <w:r w:rsidR="00455C3E" w:rsidRPr="00BE3C7D">
        <w:rPr>
          <w:sz w:val="22"/>
        </w:rPr>
        <w:t>prostřednictvím</w:t>
      </w:r>
      <w:r w:rsidR="00455C3E">
        <w:rPr>
          <w:sz w:val="22"/>
        </w:rPr>
        <w:t xml:space="preserve"> eSSL Athena</w:t>
      </w:r>
      <w:r w:rsidR="00657808">
        <w:rPr>
          <w:sz w:val="22"/>
        </w:rPr>
        <w:t xml:space="preserve"> předáno na vědomí s veškerou dokumentací odboru finančnímu, který vede centrální evidenci </w:t>
      </w:r>
      <w:r w:rsidR="00465F37">
        <w:rPr>
          <w:sz w:val="22"/>
        </w:rPr>
        <w:t>záznamů</w:t>
      </w:r>
      <w:r w:rsidR="00657808">
        <w:rPr>
          <w:sz w:val="22"/>
        </w:rPr>
        <w:t xml:space="preserve"> dle článku odst. 2 tohoto</w:t>
      </w:r>
      <w:r w:rsidR="00B660BB">
        <w:rPr>
          <w:sz w:val="22"/>
        </w:rPr>
        <w:t xml:space="preserve"> článku</w:t>
      </w:r>
      <w:r w:rsidR="00657808">
        <w:rPr>
          <w:sz w:val="22"/>
        </w:rPr>
        <w:t xml:space="preserve">. </w:t>
      </w:r>
      <w:r w:rsidRPr="00327D6A">
        <w:rPr>
          <w:sz w:val="22"/>
        </w:rPr>
        <w:t xml:space="preserve">V případě, že s rozhodnutím zaměstnavatele o úhradě škody způsobené zaměstnancem zaměstnanec nesouhlasí, škodu neuhradí ani nesepíše dohodu o srážkách ze mzdy či uznání dluhu, platí postup dle odst. </w:t>
      </w:r>
      <w:r w:rsidR="00EC1F0E">
        <w:rPr>
          <w:sz w:val="22"/>
        </w:rPr>
        <w:t>6</w:t>
      </w:r>
      <w:r w:rsidR="00654B3B">
        <w:rPr>
          <w:sz w:val="22"/>
        </w:rPr>
        <w:t xml:space="preserve"> </w:t>
      </w:r>
      <w:r w:rsidR="0089052C">
        <w:rPr>
          <w:sz w:val="22"/>
        </w:rPr>
        <w:t>a</w:t>
      </w:r>
      <w:r w:rsidR="00654B3B">
        <w:rPr>
          <w:sz w:val="22"/>
        </w:rPr>
        <w:t>ž</w:t>
      </w:r>
      <w:r w:rsidR="0089052C">
        <w:rPr>
          <w:sz w:val="22"/>
        </w:rPr>
        <w:t xml:space="preserve"> </w:t>
      </w:r>
      <w:r w:rsidR="00654B3B">
        <w:rPr>
          <w:sz w:val="22"/>
        </w:rPr>
        <w:t>8</w:t>
      </w:r>
      <w:r w:rsidRPr="00327D6A">
        <w:rPr>
          <w:sz w:val="22"/>
        </w:rPr>
        <w:t xml:space="preserve"> tohoto článku. </w:t>
      </w:r>
    </w:p>
    <w:p w:rsidR="00766EDA" w:rsidRPr="002A33F6" w:rsidRDefault="00766EDA" w:rsidP="00766EDA">
      <w:pPr>
        <w:numPr>
          <w:ilvl w:val="0"/>
          <w:numId w:val="11"/>
        </w:numPr>
        <w:spacing w:before="240"/>
        <w:ind w:left="360"/>
        <w:jc w:val="both"/>
        <w:rPr>
          <w:sz w:val="22"/>
        </w:rPr>
      </w:pPr>
      <w:r w:rsidRPr="002A33F6">
        <w:rPr>
          <w:sz w:val="22"/>
        </w:rPr>
        <w:t xml:space="preserve">Sepsání </w:t>
      </w:r>
      <w:r>
        <w:rPr>
          <w:sz w:val="22"/>
        </w:rPr>
        <w:t>dokumentu</w:t>
      </w:r>
      <w:r w:rsidRPr="002A33F6">
        <w:rPr>
          <w:sz w:val="22"/>
        </w:rPr>
        <w:t xml:space="preserve"> o uznání dluhu a způsobu uhrazení škody nebo dohody o srážkách ze mzdy zajišťuje </w:t>
      </w:r>
      <w:r>
        <w:rPr>
          <w:sz w:val="22"/>
        </w:rPr>
        <w:t>odbor kancelář ředitelky úřadu, oddělení personálních věcí a vzdělávání, (dále jen „odbor kancelář ředitelky úřadu“)</w:t>
      </w:r>
      <w:r w:rsidRPr="002A33F6">
        <w:rPr>
          <w:sz w:val="22"/>
        </w:rPr>
        <w:t xml:space="preserve">. Kopii </w:t>
      </w:r>
      <w:r>
        <w:rPr>
          <w:sz w:val="22"/>
        </w:rPr>
        <w:t>dokumentu o u</w:t>
      </w:r>
      <w:r w:rsidRPr="002A33F6">
        <w:rPr>
          <w:sz w:val="22"/>
        </w:rPr>
        <w:t>znání dluhu a o způsobu uhrazení škody nebo dohody o srážkách ze mzdy předá příslušný zaměstnanec odboru kancelář ředitel</w:t>
      </w:r>
      <w:r>
        <w:rPr>
          <w:sz w:val="22"/>
        </w:rPr>
        <w:t>ky</w:t>
      </w:r>
      <w:r w:rsidRPr="002A33F6">
        <w:rPr>
          <w:sz w:val="22"/>
        </w:rPr>
        <w:t xml:space="preserve"> úřadu finančnímu odboru, a to do tří pracovních dnů ode dne, kdy </w:t>
      </w:r>
      <w:r>
        <w:rPr>
          <w:sz w:val="22"/>
        </w:rPr>
        <w:t>byl dokument s příslušným zaměstnancem sepsán</w:t>
      </w:r>
      <w:r w:rsidR="000F4FA2">
        <w:rPr>
          <w:sz w:val="22"/>
        </w:rPr>
        <w:t xml:space="preserve"> a jím podepsán</w:t>
      </w:r>
      <w:r>
        <w:rPr>
          <w:sz w:val="22"/>
        </w:rPr>
        <w:t>.</w:t>
      </w:r>
    </w:p>
    <w:p w:rsidR="00766EDA" w:rsidRDefault="00766EDA" w:rsidP="00766EDA">
      <w:pPr>
        <w:numPr>
          <w:ilvl w:val="0"/>
          <w:numId w:val="11"/>
        </w:numPr>
        <w:spacing w:before="240"/>
        <w:ind w:left="360"/>
        <w:jc w:val="both"/>
        <w:rPr>
          <w:sz w:val="22"/>
        </w:rPr>
      </w:pPr>
      <w:r w:rsidRPr="002A33F6">
        <w:rPr>
          <w:sz w:val="22"/>
        </w:rPr>
        <w:t xml:space="preserve">V případě, že zaměstnanec, který </w:t>
      </w:r>
      <w:r>
        <w:rPr>
          <w:sz w:val="22"/>
        </w:rPr>
        <w:t xml:space="preserve">obdržel rozhodnutí zaměstnavatele </w:t>
      </w:r>
      <w:r w:rsidRPr="00036876">
        <w:rPr>
          <w:sz w:val="22"/>
        </w:rPr>
        <w:t>o úhradě škody způsobené zaměstnancem</w:t>
      </w:r>
      <w:r w:rsidRPr="002A33F6">
        <w:rPr>
          <w:sz w:val="22"/>
        </w:rPr>
        <w:t>, odmítne ve lhůtě uvedené v</w:t>
      </w:r>
      <w:r w:rsidR="00DA6AD3">
        <w:rPr>
          <w:sz w:val="22"/>
        </w:rPr>
        <w:t> </w:t>
      </w:r>
      <w:r w:rsidRPr="002A33F6">
        <w:rPr>
          <w:sz w:val="22"/>
        </w:rPr>
        <w:t>odstavci</w:t>
      </w:r>
      <w:r w:rsidR="00DA6AD3">
        <w:rPr>
          <w:sz w:val="22"/>
        </w:rPr>
        <w:t xml:space="preserve"> 4 tohoto článku</w:t>
      </w:r>
      <w:r w:rsidRPr="002A33F6">
        <w:rPr>
          <w:sz w:val="22"/>
        </w:rPr>
        <w:t xml:space="preserve"> sepsání </w:t>
      </w:r>
      <w:r>
        <w:rPr>
          <w:sz w:val="22"/>
        </w:rPr>
        <w:t xml:space="preserve">dokumentu o </w:t>
      </w:r>
      <w:r w:rsidRPr="002A33F6">
        <w:rPr>
          <w:sz w:val="22"/>
        </w:rPr>
        <w:t xml:space="preserve">uznání dluhu a o způsobu uhrazení škody nebo dohodu o srážkách ze mzdy, případně je v prodlení s placením dluhu, řeší nárok zaměstnavatele na náhradu škody v souladu s příslušnými interními předpisy odbor legislativní a právní </w:t>
      </w:r>
      <w:r>
        <w:rPr>
          <w:sz w:val="22"/>
        </w:rPr>
        <w:t>a krajský živnostenský úřad</w:t>
      </w:r>
      <w:r w:rsidRPr="002A33F6">
        <w:rPr>
          <w:sz w:val="22"/>
        </w:rPr>
        <w:t xml:space="preserve">. </w:t>
      </w:r>
    </w:p>
    <w:p w:rsidR="00CD6D2B" w:rsidRPr="000C4577" w:rsidRDefault="00601D8F" w:rsidP="00C93EA6">
      <w:pPr>
        <w:numPr>
          <w:ilvl w:val="0"/>
          <w:numId w:val="11"/>
        </w:numPr>
        <w:spacing w:before="240"/>
        <w:ind w:left="360"/>
        <w:jc w:val="both"/>
        <w:rPr>
          <w:sz w:val="22"/>
        </w:rPr>
      </w:pPr>
      <w:r w:rsidRPr="00C93EA6">
        <w:rPr>
          <w:sz w:val="22"/>
        </w:rPr>
        <w:t>Rozhodnutí zaměstnavatele o úhradě škody způsobené zaměstnancem</w:t>
      </w:r>
      <w:r w:rsidR="00DD778D" w:rsidRPr="00C93EA6">
        <w:rPr>
          <w:sz w:val="22"/>
        </w:rPr>
        <w:t>, s jehož obsahem dotčený zaměstnanec nesouhlasí,</w:t>
      </w:r>
      <w:r w:rsidRPr="00C93EA6">
        <w:rPr>
          <w:sz w:val="22"/>
        </w:rPr>
        <w:t xml:space="preserve"> může </w:t>
      </w:r>
      <w:r w:rsidR="00DD778D" w:rsidRPr="00C93EA6">
        <w:rPr>
          <w:sz w:val="22"/>
        </w:rPr>
        <w:t>tento</w:t>
      </w:r>
      <w:r w:rsidR="009935F7" w:rsidRPr="00C93EA6">
        <w:rPr>
          <w:sz w:val="22"/>
        </w:rPr>
        <w:t>, poté, co jej obdrží,</w:t>
      </w:r>
      <w:r w:rsidRPr="00C93EA6">
        <w:rPr>
          <w:sz w:val="22"/>
        </w:rPr>
        <w:t xml:space="preserve"> postoupit </w:t>
      </w:r>
      <w:r w:rsidR="00600B2C">
        <w:rPr>
          <w:sz w:val="22"/>
        </w:rPr>
        <w:t xml:space="preserve">k dalšímu posouzení </w:t>
      </w:r>
      <w:r w:rsidRPr="00C93EA6">
        <w:rPr>
          <w:sz w:val="22"/>
        </w:rPr>
        <w:t>ředitelce k</w:t>
      </w:r>
      <w:r w:rsidR="00DD778D" w:rsidRPr="00C93EA6">
        <w:rPr>
          <w:sz w:val="22"/>
        </w:rPr>
        <w:t>rajského úřadu</w:t>
      </w:r>
      <w:r w:rsidR="00B45636">
        <w:rPr>
          <w:sz w:val="22"/>
        </w:rPr>
        <w:t xml:space="preserve"> nebo</w:t>
      </w:r>
      <w:r w:rsidR="00162FD0" w:rsidRPr="00C93EA6">
        <w:rPr>
          <w:sz w:val="22"/>
        </w:rPr>
        <w:t xml:space="preserve"> </w:t>
      </w:r>
      <w:r w:rsidR="00A647EC">
        <w:rPr>
          <w:sz w:val="22"/>
        </w:rPr>
        <w:t xml:space="preserve">hejtmanovi kraje </w:t>
      </w:r>
      <w:r w:rsidR="00162FD0" w:rsidRPr="00C93EA6">
        <w:rPr>
          <w:sz w:val="22"/>
        </w:rPr>
        <w:t xml:space="preserve">v případě </w:t>
      </w:r>
      <w:r w:rsidR="00C93EA6">
        <w:rPr>
          <w:sz w:val="22"/>
        </w:rPr>
        <w:t xml:space="preserve">škody týkající se </w:t>
      </w:r>
      <w:r w:rsidR="00162FD0" w:rsidRPr="00C93EA6">
        <w:rPr>
          <w:sz w:val="22"/>
        </w:rPr>
        <w:t>vedoucí</w:t>
      </w:r>
      <w:r w:rsidR="00C93EA6">
        <w:rPr>
          <w:sz w:val="22"/>
        </w:rPr>
        <w:t>ho</w:t>
      </w:r>
      <w:r w:rsidR="00162FD0" w:rsidRPr="00C93EA6">
        <w:rPr>
          <w:sz w:val="22"/>
        </w:rPr>
        <w:t xml:space="preserve"> finančního odboru</w:t>
      </w:r>
      <w:r w:rsidR="00251B1C">
        <w:rPr>
          <w:sz w:val="22"/>
        </w:rPr>
        <w:t xml:space="preserve">, </w:t>
      </w:r>
      <w:r w:rsidR="00251B1C" w:rsidRPr="004133E3">
        <w:rPr>
          <w:sz w:val="22"/>
        </w:rPr>
        <w:t>zástupci hejtmana v případě škody týkající se ředitelky krajského úřadu nebo členů zastupitelstva</w:t>
      </w:r>
      <w:r w:rsidR="00401AD0" w:rsidRPr="004133E3">
        <w:rPr>
          <w:sz w:val="22"/>
        </w:rPr>
        <w:t xml:space="preserve"> nebo zástupci hejtmana</w:t>
      </w:r>
      <w:r w:rsidR="00162FD0" w:rsidRPr="004133E3">
        <w:rPr>
          <w:sz w:val="22"/>
        </w:rPr>
        <w:t>,</w:t>
      </w:r>
      <w:r w:rsidR="00DD778D" w:rsidRPr="004133E3">
        <w:rPr>
          <w:sz w:val="22"/>
        </w:rPr>
        <w:t xml:space="preserve"> </w:t>
      </w:r>
      <w:r w:rsidR="00401AD0" w:rsidRPr="004133E3">
        <w:rPr>
          <w:sz w:val="22"/>
        </w:rPr>
        <w:t>který nevydával rozhodnutí zaměstnavatele o úhradě škody způsobené zaměstnancem,</w:t>
      </w:r>
      <w:r w:rsidR="00A647EC" w:rsidRPr="004133E3">
        <w:rPr>
          <w:sz w:val="22"/>
        </w:rPr>
        <w:t xml:space="preserve"> v případě škody týkající se hejtmana</w:t>
      </w:r>
      <w:r w:rsidR="00DD778D" w:rsidRPr="004133E3">
        <w:rPr>
          <w:sz w:val="22"/>
        </w:rPr>
        <w:t>.</w:t>
      </w:r>
      <w:r w:rsidR="00DD778D" w:rsidRPr="000C4577">
        <w:rPr>
          <w:sz w:val="22"/>
        </w:rPr>
        <w:t xml:space="preserve"> Ředitelka krajského úřadu</w:t>
      </w:r>
      <w:r w:rsidR="00401AD0" w:rsidRPr="000C4577">
        <w:rPr>
          <w:sz w:val="22"/>
        </w:rPr>
        <w:t>,</w:t>
      </w:r>
      <w:r w:rsidR="00162FD0" w:rsidRPr="000C4577">
        <w:rPr>
          <w:sz w:val="22"/>
        </w:rPr>
        <w:t xml:space="preserve"> hejtman kraje</w:t>
      </w:r>
      <w:r w:rsidR="00401AD0" w:rsidRPr="000C4577">
        <w:rPr>
          <w:sz w:val="22"/>
        </w:rPr>
        <w:t xml:space="preserve"> či jeho zástupce</w:t>
      </w:r>
      <w:r w:rsidR="00162FD0" w:rsidRPr="000C4577">
        <w:rPr>
          <w:sz w:val="22"/>
        </w:rPr>
        <w:t xml:space="preserve"> </w:t>
      </w:r>
      <w:r w:rsidR="00DD778D" w:rsidRPr="000C4577">
        <w:rPr>
          <w:sz w:val="22"/>
        </w:rPr>
        <w:t>si k posouzení škodního případu vyžádá veškerou dostupnou dokumentaci</w:t>
      </w:r>
      <w:r w:rsidR="00B45636">
        <w:rPr>
          <w:sz w:val="22"/>
        </w:rPr>
        <w:t>. P</w:t>
      </w:r>
      <w:r w:rsidR="00162FD0" w:rsidRPr="000C4577">
        <w:rPr>
          <w:sz w:val="22"/>
        </w:rPr>
        <w:t>ro posouzení</w:t>
      </w:r>
      <w:r w:rsidR="00401AD0" w:rsidRPr="000C4577">
        <w:rPr>
          <w:sz w:val="22"/>
        </w:rPr>
        <w:t xml:space="preserve"> nediskriminačního přístupu si dále mohou vyžádat z centrální evidence záznamů rozhodnutí v obdobných příp</w:t>
      </w:r>
      <w:r w:rsidR="007F7DF6" w:rsidRPr="000C4577">
        <w:rPr>
          <w:sz w:val="22"/>
        </w:rPr>
        <w:t xml:space="preserve">adech, </w:t>
      </w:r>
      <w:r w:rsidR="00DD778D" w:rsidRPr="000C4577">
        <w:rPr>
          <w:sz w:val="22"/>
        </w:rPr>
        <w:t xml:space="preserve">přičemž </w:t>
      </w:r>
      <w:r w:rsidR="007F7DF6" w:rsidRPr="000C4577">
        <w:rPr>
          <w:sz w:val="22"/>
        </w:rPr>
        <w:t>mohou svým</w:t>
      </w:r>
      <w:r w:rsidR="00DD778D" w:rsidRPr="000C4577">
        <w:rPr>
          <w:sz w:val="22"/>
        </w:rPr>
        <w:t xml:space="preserve"> rozhodnutím </w:t>
      </w:r>
      <w:r w:rsidR="007F7DF6" w:rsidRPr="000C4577">
        <w:rPr>
          <w:sz w:val="22"/>
        </w:rPr>
        <w:t xml:space="preserve">rozhodnutí </w:t>
      </w:r>
      <w:r w:rsidR="0089052C" w:rsidRPr="000C4577">
        <w:rPr>
          <w:sz w:val="22"/>
        </w:rPr>
        <w:t>zaměstnavatele o úhradě škody způsobené zaměstnancem potvrdit, změnit nebo zrušit a současně m</w:t>
      </w:r>
      <w:r w:rsidR="007F7DF6" w:rsidRPr="000C4577">
        <w:rPr>
          <w:sz w:val="22"/>
        </w:rPr>
        <w:t>ohou</w:t>
      </w:r>
      <w:r w:rsidR="0089052C" w:rsidRPr="000C4577">
        <w:rPr>
          <w:sz w:val="22"/>
        </w:rPr>
        <w:t xml:space="preserve"> rozhodnout</w:t>
      </w:r>
      <w:r w:rsidR="00DD778D" w:rsidRPr="000C4577">
        <w:rPr>
          <w:sz w:val="22"/>
        </w:rPr>
        <w:t xml:space="preserve"> o prominutí</w:t>
      </w:r>
      <w:r w:rsidR="00954272" w:rsidRPr="000C4577">
        <w:rPr>
          <w:sz w:val="22"/>
        </w:rPr>
        <w:t xml:space="preserve">, částečném prominutí nebo neprominutí </w:t>
      </w:r>
      <w:r w:rsidR="00DD778D" w:rsidRPr="000C4577">
        <w:rPr>
          <w:sz w:val="22"/>
        </w:rPr>
        <w:t xml:space="preserve">náhrady škody </w:t>
      </w:r>
      <w:r w:rsidR="004A48A7" w:rsidRPr="000C4577">
        <w:rPr>
          <w:sz w:val="22"/>
        </w:rPr>
        <w:t>stanovené</w:t>
      </w:r>
      <w:r w:rsidR="00DD778D" w:rsidRPr="000C4577">
        <w:rPr>
          <w:sz w:val="22"/>
        </w:rPr>
        <w:t xml:space="preserve"> v rozhodnutí zaměstnavatele o úhradě škody způsobené zaměstnancem </w:t>
      </w:r>
      <w:r w:rsidR="00CD6D2B" w:rsidRPr="000C4577">
        <w:rPr>
          <w:sz w:val="22"/>
        </w:rPr>
        <w:t>(</w:t>
      </w:r>
      <w:r w:rsidR="00DD778D" w:rsidRPr="000C4577">
        <w:rPr>
          <w:sz w:val="22"/>
        </w:rPr>
        <w:t>po zvážení veškerých relevantních okolností daného případu</w:t>
      </w:r>
      <w:r w:rsidR="007D37CB" w:rsidRPr="000C4577">
        <w:rPr>
          <w:sz w:val="22"/>
        </w:rPr>
        <w:t>, jako je např. řešení aktuální krizové situace, mimořádné pracovní vytížení zaměstnance či jiné zvlášť závažné skutečnosti</w:t>
      </w:r>
      <w:r w:rsidR="00CD6D2B" w:rsidRPr="000C4577">
        <w:rPr>
          <w:sz w:val="22"/>
        </w:rPr>
        <w:t>)</w:t>
      </w:r>
      <w:r w:rsidR="00DD778D" w:rsidRPr="000C4577">
        <w:rPr>
          <w:sz w:val="22"/>
        </w:rPr>
        <w:t>. Povinnost zaměstnance nahradit škodu ve lhůtě stanovené rozhodnutím zaměstnavatele o</w:t>
      </w:r>
      <w:r w:rsidR="00B65B4F" w:rsidRPr="000C4577">
        <w:rPr>
          <w:sz w:val="22"/>
        </w:rPr>
        <w:t> </w:t>
      </w:r>
      <w:r w:rsidR="00DD778D" w:rsidRPr="000C4577">
        <w:rPr>
          <w:sz w:val="22"/>
        </w:rPr>
        <w:t xml:space="preserve">úhradě škody tímto nezaniká. </w:t>
      </w:r>
    </w:p>
    <w:p w:rsidR="00275153" w:rsidRPr="003907C1" w:rsidRDefault="00DD778D" w:rsidP="00256E5A">
      <w:pPr>
        <w:numPr>
          <w:ilvl w:val="0"/>
          <w:numId w:val="11"/>
        </w:numPr>
        <w:spacing w:before="240"/>
        <w:ind w:left="360"/>
        <w:jc w:val="both"/>
        <w:rPr>
          <w:sz w:val="22"/>
        </w:rPr>
      </w:pPr>
      <w:r w:rsidRPr="003907C1">
        <w:rPr>
          <w:sz w:val="22"/>
        </w:rPr>
        <w:t>V případě, že ředitelka krajského úřadu</w:t>
      </w:r>
      <w:r w:rsidR="00CD6D2B">
        <w:rPr>
          <w:sz w:val="22"/>
        </w:rPr>
        <w:t>,</w:t>
      </w:r>
      <w:r w:rsidR="00954272" w:rsidRPr="003907C1">
        <w:rPr>
          <w:sz w:val="22"/>
        </w:rPr>
        <w:t xml:space="preserve"> </w:t>
      </w:r>
      <w:r w:rsidR="00CD6D2B">
        <w:rPr>
          <w:sz w:val="22"/>
        </w:rPr>
        <w:t>hejtman kraje či jeho zástupce</w:t>
      </w:r>
      <w:r w:rsidR="00954272" w:rsidRPr="003907C1">
        <w:rPr>
          <w:sz w:val="22"/>
        </w:rPr>
        <w:t xml:space="preserve"> </w:t>
      </w:r>
      <w:r w:rsidRPr="003907C1">
        <w:rPr>
          <w:sz w:val="22"/>
        </w:rPr>
        <w:t>rozhodn</w:t>
      </w:r>
      <w:r w:rsidR="00CD6D2B">
        <w:rPr>
          <w:sz w:val="22"/>
        </w:rPr>
        <w:t>ou</w:t>
      </w:r>
      <w:r w:rsidRPr="003907C1">
        <w:rPr>
          <w:sz w:val="22"/>
        </w:rPr>
        <w:t xml:space="preserve"> o </w:t>
      </w:r>
      <w:r w:rsidR="0089052C" w:rsidRPr="003907C1">
        <w:rPr>
          <w:sz w:val="22"/>
        </w:rPr>
        <w:t xml:space="preserve">změně či zrušení rozhodnutí zaměstnavatele o úhradě škody způsobené zaměstnancem, případně o </w:t>
      </w:r>
      <w:r w:rsidRPr="003907C1">
        <w:rPr>
          <w:sz w:val="22"/>
        </w:rPr>
        <w:t>prominutí náhrady škody či její části, bude část škody uhrazená zaměstnancem zaměstnavateli, která se stala předmětem</w:t>
      </w:r>
      <w:r w:rsidR="0089052C" w:rsidRPr="003907C1">
        <w:rPr>
          <w:sz w:val="22"/>
        </w:rPr>
        <w:t xml:space="preserve"> změny, zrušení či</w:t>
      </w:r>
      <w:r w:rsidRPr="003907C1">
        <w:rPr>
          <w:sz w:val="22"/>
        </w:rPr>
        <w:t xml:space="preserve"> prominutí vrácena zaměstnavatelem dotčenému zaměstnanci na jím stanovený účet ve lhůtě do</w:t>
      </w:r>
      <w:r w:rsidR="00B65B4F" w:rsidRPr="003907C1">
        <w:rPr>
          <w:sz w:val="22"/>
        </w:rPr>
        <w:t> </w:t>
      </w:r>
      <w:r w:rsidRPr="003907C1">
        <w:rPr>
          <w:sz w:val="22"/>
        </w:rPr>
        <w:t>5</w:t>
      </w:r>
      <w:r w:rsidR="00B65B4F" w:rsidRPr="003907C1">
        <w:rPr>
          <w:sz w:val="22"/>
        </w:rPr>
        <w:t> </w:t>
      </w:r>
      <w:r w:rsidRPr="003907C1">
        <w:rPr>
          <w:sz w:val="22"/>
        </w:rPr>
        <w:t>pracovních dnů ode dne, kdy o této skutečnosti bude informován finanční odbor</w:t>
      </w:r>
      <w:r w:rsidR="00455C3E">
        <w:rPr>
          <w:sz w:val="22"/>
        </w:rPr>
        <w:t xml:space="preserve"> </w:t>
      </w:r>
      <w:r w:rsidRPr="003907C1">
        <w:rPr>
          <w:sz w:val="22"/>
        </w:rPr>
        <w:t>odborem kancelář ředitelky úřadu</w:t>
      </w:r>
      <w:r w:rsidR="00CD6D2B">
        <w:rPr>
          <w:sz w:val="22"/>
        </w:rPr>
        <w:t xml:space="preserve"> nebo odborem kancelář hejtmana</w:t>
      </w:r>
      <w:r w:rsidR="007F501C">
        <w:rPr>
          <w:sz w:val="22"/>
        </w:rPr>
        <w:t xml:space="preserve"> a vnějších vztahů</w:t>
      </w:r>
      <w:r w:rsidRPr="003907C1">
        <w:rPr>
          <w:sz w:val="22"/>
        </w:rPr>
        <w:t>.</w:t>
      </w:r>
      <w:r w:rsidR="00940A8F" w:rsidRPr="003907C1">
        <w:rPr>
          <w:sz w:val="22"/>
        </w:rPr>
        <w:t xml:space="preserve"> </w:t>
      </w:r>
      <w:r w:rsidR="003F3169" w:rsidRPr="003907C1">
        <w:rPr>
          <w:sz w:val="22"/>
        </w:rPr>
        <w:t>Odbor k</w:t>
      </w:r>
      <w:r w:rsidR="0070296F" w:rsidRPr="003907C1">
        <w:rPr>
          <w:sz w:val="22"/>
        </w:rPr>
        <w:t xml:space="preserve">ancelář ředitelky úřadu </w:t>
      </w:r>
      <w:r w:rsidR="00CD6D2B">
        <w:rPr>
          <w:sz w:val="22"/>
        </w:rPr>
        <w:t>či odbor kancelář hejtmana</w:t>
      </w:r>
      <w:r w:rsidR="00A35342" w:rsidRPr="003907C1">
        <w:rPr>
          <w:sz w:val="22"/>
        </w:rPr>
        <w:t xml:space="preserve"> </w:t>
      </w:r>
      <w:r w:rsidR="007F501C">
        <w:rPr>
          <w:sz w:val="22"/>
        </w:rPr>
        <w:t xml:space="preserve">a vnějších vztahů </w:t>
      </w:r>
      <w:r w:rsidR="00A35342" w:rsidRPr="003907C1">
        <w:rPr>
          <w:sz w:val="22"/>
        </w:rPr>
        <w:t xml:space="preserve">jsou povinni o výsledku posouzení škodního případu, </w:t>
      </w:r>
      <w:r w:rsidR="00940A8F" w:rsidRPr="003907C1">
        <w:rPr>
          <w:sz w:val="22"/>
        </w:rPr>
        <w:t xml:space="preserve">tj. </w:t>
      </w:r>
      <w:r w:rsidR="008370CA" w:rsidRPr="003907C1">
        <w:rPr>
          <w:sz w:val="22"/>
        </w:rPr>
        <w:t xml:space="preserve">potvrzení, změně či zrušení rozhodnutí zaměstnavatele o úhradě škody způsobené zaměstnancem, popřípadě o </w:t>
      </w:r>
      <w:r w:rsidR="00A35342" w:rsidRPr="003907C1">
        <w:rPr>
          <w:sz w:val="22"/>
        </w:rPr>
        <w:t>prominutí</w:t>
      </w:r>
      <w:r w:rsidR="007157D8" w:rsidRPr="003907C1">
        <w:rPr>
          <w:sz w:val="22"/>
        </w:rPr>
        <w:t>, částečném prominutí</w:t>
      </w:r>
      <w:r w:rsidR="00A35342" w:rsidRPr="003907C1">
        <w:rPr>
          <w:sz w:val="22"/>
        </w:rPr>
        <w:t xml:space="preserve"> či neprominutí stanovené náhrady škody vždy</w:t>
      </w:r>
      <w:r w:rsidR="00AF5F60" w:rsidRPr="003907C1">
        <w:rPr>
          <w:sz w:val="22"/>
        </w:rPr>
        <w:t xml:space="preserve"> prostřednictvím eSSL Athena</w:t>
      </w:r>
      <w:r w:rsidR="00A35342" w:rsidRPr="003907C1">
        <w:rPr>
          <w:sz w:val="22"/>
        </w:rPr>
        <w:t xml:space="preserve"> informovat finanční odbor</w:t>
      </w:r>
      <w:r w:rsidR="00F32DAA" w:rsidRPr="003907C1">
        <w:rPr>
          <w:sz w:val="22"/>
        </w:rPr>
        <w:t>, který vede</w:t>
      </w:r>
      <w:r w:rsidR="00A35342" w:rsidRPr="003907C1">
        <w:rPr>
          <w:sz w:val="22"/>
        </w:rPr>
        <w:t xml:space="preserve"> centrální evidenci </w:t>
      </w:r>
      <w:r w:rsidR="00DB43E6" w:rsidRPr="003907C1">
        <w:rPr>
          <w:sz w:val="22"/>
        </w:rPr>
        <w:t>záznamů</w:t>
      </w:r>
      <w:r w:rsidR="00F32DAA" w:rsidRPr="003907C1">
        <w:rPr>
          <w:sz w:val="22"/>
        </w:rPr>
        <w:t>, a</w:t>
      </w:r>
      <w:r w:rsidR="00B65B4F" w:rsidRPr="003907C1">
        <w:rPr>
          <w:sz w:val="22"/>
        </w:rPr>
        <w:t> </w:t>
      </w:r>
      <w:r w:rsidR="00F32DAA" w:rsidRPr="003907C1">
        <w:rPr>
          <w:sz w:val="22"/>
        </w:rPr>
        <w:t>to</w:t>
      </w:r>
      <w:r w:rsidR="00B65B4F" w:rsidRPr="003907C1">
        <w:rPr>
          <w:sz w:val="22"/>
        </w:rPr>
        <w:t> </w:t>
      </w:r>
      <w:r w:rsidR="00F32DAA" w:rsidRPr="003907C1">
        <w:rPr>
          <w:sz w:val="22"/>
        </w:rPr>
        <w:t xml:space="preserve">do 5 pracovních dnů ode dne vydání rozhodnutí </w:t>
      </w:r>
      <w:r w:rsidR="00954272" w:rsidRPr="003907C1">
        <w:rPr>
          <w:sz w:val="22"/>
        </w:rPr>
        <w:t xml:space="preserve">o potvrzení, změně či zrušení rozhodnutí zaměstnavatele o úhradě škody způsobené zaměstnancem, popř. </w:t>
      </w:r>
      <w:r w:rsidR="00F32DAA" w:rsidRPr="003907C1">
        <w:rPr>
          <w:sz w:val="22"/>
        </w:rPr>
        <w:t>prominutí či neprominutí náhrady škody nebo její části.</w:t>
      </w:r>
      <w:r w:rsidR="00604258" w:rsidRPr="003907C1">
        <w:rPr>
          <w:sz w:val="22"/>
        </w:rPr>
        <w:t xml:space="preserve"> </w:t>
      </w:r>
      <w:r w:rsidR="00237AF6" w:rsidRPr="003907C1">
        <w:rPr>
          <w:sz w:val="22"/>
        </w:rPr>
        <w:t>Do vydání rozhodnutí o</w:t>
      </w:r>
      <w:r w:rsidR="008370CA" w:rsidRPr="003907C1">
        <w:rPr>
          <w:sz w:val="22"/>
        </w:rPr>
        <w:t xml:space="preserve"> potvrzení, změně či zrušení rozhodnutí zaměstnavatele o úhradě škody způsobené zaměstnancem, popř.</w:t>
      </w:r>
      <w:r w:rsidR="00237AF6" w:rsidRPr="003907C1">
        <w:rPr>
          <w:sz w:val="22"/>
        </w:rPr>
        <w:t xml:space="preserve"> prominutí</w:t>
      </w:r>
      <w:r w:rsidR="000E22DF" w:rsidRPr="003907C1">
        <w:rPr>
          <w:sz w:val="22"/>
        </w:rPr>
        <w:t>, částečném prominutí</w:t>
      </w:r>
      <w:r w:rsidR="00237AF6" w:rsidRPr="003907C1">
        <w:rPr>
          <w:sz w:val="22"/>
        </w:rPr>
        <w:t xml:space="preserve"> či neprominutí stanovené náhrady škody</w:t>
      </w:r>
      <w:r w:rsidR="008370CA" w:rsidRPr="003907C1">
        <w:rPr>
          <w:sz w:val="22"/>
        </w:rPr>
        <w:t>,</w:t>
      </w:r>
      <w:r w:rsidR="00237AF6" w:rsidRPr="003907C1">
        <w:rPr>
          <w:sz w:val="22"/>
        </w:rPr>
        <w:t xml:space="preserve"> nevymáhá odbor legislativní a právní</w:t>
      </w:r>
      <w:r w:rsidR="00940A8F" w:rsidRPr="003907C1">
        <w:rPr>
          <w:sz w:val="22"/>
        </w:rPr>
        <w:t xml:space="preserve"> a krajský živnostenský úřad</w:t>
      </w:r>
      <w:r w:rsidR="003907C1" w:rsidRPr="003907C1">
        <w:rPr>
          <w:sz w:val="22"/>
        </w:rPr>
        <w:t xml:space="preserve"> </w:t>
      </w:r>
      <w:r w:rsidR="00237AF6" w:rsidRPr="003907C1">
        <w:rPr>
          <w:sz w:val="22"/>
        </w:rPr>
        <w:t>nárok zaměstnavatele na náhradu škody způsobené zaměstnancem dle odstavce</w:t>
      </w:r>
      <w:r w:rsidR="00CD6D2B">
        <w:rPr>
          <w:sz w:val="22"/>
        </w:rPr>
        <w:t xml:space="preserve"> 6</w:t>
      </w:r>
      <w:r w:rsidR="00221C03" w:rsidRPr="003907C1">
        <w:rPr>
          <w:sz w:val="22"/>
        </w:rPr>
        <w:t xml:space="preserve"> tohoto článku</w:t>
      </w:r>
      <w:r w:rsidR="00237AF6" w:rsidRPr="003907C1">
        <w:rPr>
          <w:sz w:val="22"/>
        </w:rPr>
        <w:t>.</w:t>
      </w:r>
    </w:p>
    <w:p w:rsidR="00CE6DE9" w:rsidRDefault="00CE6DE9" w:rsidP="00766EDA">
      <w:pPr>
        <w:pStyle w:val="Nadpis1"/>
        <w:spacing w:before="0" w:after="0"/>
        <w:jc w:val="center"/>
        <w:rPr>
          <w:rFonts w:ascii="Times New Roman" w:hAnsi="Times New Roman"/>
          <w:sz w:val="22"/>
          <w:szCs w:val="22"/>
        </w:rPr>
      </w:pPr>
      <w:bookmarkStart w:id="69" w:name="_Toc462655775"/>
      <w:bookmarkStart w:id="70" w:name="_Toc448146280"/>
    </w:p>
    <w:p w:rsidR="00251B1C" w:rsidRDefault="00251B1C" w:rsidP="00275153">
      <w:pPr>
        <w:jc w:val="center"/>
        <w:outlineLvl w:val="2"/>
        <w:rPr>
          <w:b/>
          <w:sz w:val="22"/>
          <w:szCs w:val="22"/>
        </w:rPr>
      </w:pPr>
    </w:p>
    <w:p w:rsidR="00766EDA" w:rsidRPr="00275153" w:rsidRDefault="00766EDA" w:rsidP="00275153">
      <w:pPr>
        <w:jc w:val="center"/>
        <w:outlineLvl w:val="2"/>
        <w:rPr>
          <w:b/>
          <w:sz w:val="22"/>
          <w:szCs w:val="22"/>
        </w:rPr>
      </w:pPr>
      <w:bookmarkStart w:id="71" w:name="_Toc89843563"/>
      <w:r w:rsidRPr="00275153">
        <w:rPr>
          <w:b/>
          <w:sz w:val="22"/>
          <w:szCs w:val="22"/>
        </w:rPr>
        <w:t>Čl. IX.</w:t>
      </w:r>
      <w:bookmarkEnd w:id="69"/>
      <w:r w:rsidR="00076F8D" w:rsidRPr="00275153">
        <w:rPr>
          <w:b/>
          <w:sz w:val="22"/>
          <w:szCs w:val="22"/>
        </w:rPr>
        <w:t xml:space="preserve"> </w:t>
      </w:r>
      <w:bookmarkStart w:id="72" w:name="_Toc462655776"/>
      <w:r w:rsidRPr="00275153">
        <w:rPr>
          <w:b/>
          <w:sz w:val="22"/>
          <w:szCs w:val="22"/>
        </w:rPr>
        <w:t xml:space="preserve">Administrace škodních případů </w:t>
      </w:r>
      <w:r w:rsidR="000F4FA2" w:rsidRPr="00275153">
        <w:rPr>
          <w:b/>
          <w:sz w:val="22"/>
          <w:szCs w:val="22"/>
        </w:rPr>
        <w:t xml:space="preserve">kraje </w:t>
      </w:r>
      <w:r w:rsidRPr="00275153">
        <w:rPr>
          <w:b/>
          <w:sz w:val="22"/>
          <w:szCs w:val="22"/>
        </w:rPr>
        <w:t>nad 10.000</w:t>
      </w:r>
      <w:r w:rsidR="00654B3B">
        <w:rPr>
          <w:b/>
          <w:sz w:val="22"/>
          <w:szCs w:val="22"/>
        </w:rPr>
        <w:t>,00</w:t>
      </w:r>
      <w:r w:rsidRPr="00275153">
        <w:rPr>
          <w:b/>
          <w:sz w:val="22"/>
          <w:szCs w:val="22"/>
        </w:rPr>
        <w:t xml:space="preserve"> Kč</w:t>
      </w:r>
      <w:bookmarkEnd w:id="71"/>
      <w:bookmarkEnd w:id="72"/>
    </w:p>
    <w:p w:rsidR="00766EDA" w:rsidRPr="00BE3C7D" w:rsidRDefault="00766EDA" w:rsidP="00766EDA">
      <w:pPr>
        <w:numPr>
          <w:ilvl w:val="0"/>
          <w:numId w:val="14"/>
        </w:numPr>
        <w:spacing w:before="240"/>
        <w:ind w:left="360"/>
        <w:jc w:val="both"/>
        <w:rPr>
          <w:sz w:val="22"/>
        </w:rPr>
      </w:pPr>
      <w:r w:rsidRPr="00BE3C7D">
        <w:rPr>
          <w:sz w:val="22"/>
        </w:rPr>
        <w:t>Přesáhne-li výše škody (i předpokládané) částku 10.000</w:t>
      </w:r>
      <w:r w:rsidR="00654B3B">
        <w:rPr>
          <w:sz w:val="22"/>
        </w:rPr>
        <w:t>,00</w:t>
      </w:r>
      <w:r w:rsidRPr="00BE3C7D">
        <w:rPr>
          <w:sz w:val="22"/>
        </w:rPr>
        <w:t xml:space="preserve"> Kč, projedná příslušný škodní případ po</w:t>
      </w:r>
      <w:r w:rsidR="00B65B4F">
        <w:rPr>
          <w:sz w:val="22"/>
        </w:rPr>
        <w:t> </w:t>
      </w:r>
      <w:r w:rsidRPr="00BE3C7D">
        <w:rPr>
          <w:sz w:val="22"/>
        </w:rPr>
        <w:t xml:space="preserve">vyhotovení </w:t>
      </w:r>
      <w:r w:rsidR="00DB43E6" w:rsidRPr="00BE3C7D">
        <w:rPr>
          <w:sz w:val="22"/>
        </w:rPr>
        <w:t xml:space="preserve">záznamu </w:t>
      </w:r>
      <w:r w:rsidRPr="00BE3C7D">
        <w:rPr>
          <w:sz w:val="22"/>
        </w:rPr>
        <w:t>dle článku VII. tohoto předpisu škodní komise. U projektů, které jsou monitorovány průběžně, tj. u nichž probíhá několik vyúčtování, projedná škodní komise finanční postihy s nimi související, jakmile bude takový projekt finančně ukončen. Vedoucí projektu je však i v takovém případě povinen projednat a písemně oznámit zaměstnanci výši vzniklé škody</w:t>
      </w:r>
      <w:r w:rsidR="000F7221" w:rsidRPr="00BE3C7D">
        <w:rPr>
          <w:sz w:val="22"/>
        </w:rPr>
        <w:t xml:space="preserve"> zpravidla</w:t>
      </w:r>
      <w:r w:rsidRPr="00BE3C7D">
        <w:rPr>
          <w:sz w:val="22"/>
        </w:rPr>
        <w:t xml:space="preserve"> nejpozději do</w:t>
      </w:r>
      <w:r w:rsidR="00B65B4F">
        <w:rPr>
          <w:sz w:val="22"/>
        </w:rPr>
        <w:t> </w:t>
      </w:r>
      <w:r w:rsidRPr="00BE3C7D">
        <w:rPr>
          <w:sz w:val="22"/>
        </w:rPr>
        <w:t>1</w:t>
      </w:r>
      <w:r w:rsidR="00B65B4F">
        <w:rPr>
          <w:sz w:val="22"/>
        </w:rPr>
        <w:t> </w:t>
      </w:r>
      <w:r w:rsidRPr="00BE3C7D">
        <w:rPr>
          <w:sz w:val="22"/>
        </w:rPr>
        <w:t>měsíce ode dne, kdy bylo zjištěno, že škoda vznikla, a že bude škoda projednávána ve škodní komisi po finančním ukončení projektu</w:t>
      </w:r>
      <w:r w:rsidR="00B660BB" w:rsidRPr="00BE3C7D">
        <w:rPr>
          <w:rStyle w:val="Znakapoznpodarou"/>
          <w:sz w:val="22"/>
        </w:rPr>
        <w:footnoteReference w:id="14"/>
      </w:r>
      <w:r w:rsidRPr="00BE3C7D">
        <w:rPr>
          <w:sz w:val="22"/>
        </w:rPr>
        <w:t>. Současně je vedoucí projektu povinen postupovat tak, aby</w:t>
      </w:r>
      <w:r w:rsidR="00B65B4F">
        <w:rPr>
          <w:sz w:val="22"/>
        </w:rPr>
        <w:t> </w:t>
      </w:r>
      <w:r w:rsidRPr="00BE3C7D">
        <w:rPr>
          <w:sz w:val="22"/>
        </w:rPr>
        <w:t>u</w:t>
      </w:r>
      <w:r w:rsidR="00B65B4F">
        <w:rPr>
          <w:sz w:val="22"/>
        </w:rPr>
        <w:t> </w:t>
      </w:r>
      <w:r w:rsidRPr="00BE3C7D">
        <w:rPr>
          <w:sz w:val="22"/>
        </w:rPr>
        <w:t xml:space="preserve">škodního případu nedošlo k promlčení práva na náhradu škody. </w:t>
      </w:r>
      <w:r w:rsidR="004A48A7" w:rsidRPr="00BE3C7D">
        <w:rPr>
          <w:sz w:val="22"/>
        </w:rPr>
        <w:t>V případě, že by mohlo dojít k uplynutí subjektivní či objektivní promlčecí doby, bude škoda způsobená v souvislosti s finančním postihem u daného projektu projednána ve škodní komisi před finančním ukončením projektu a</w:t>
      </w:r>
      <w:r w:rsidR="00B65B4F">
        <w:rPr>
          <w:sz w:val="22"/>
        </w:rPr>
        <w:t> </w:t>
      </w:r>
      <w:r w:rsidR="004A48A7" w:rsidRPr="00BE3C7D">
        <w:rPr>
          <w:sz w:val="22"/>
        </w:rPr>
        <w:t>předložením závěrečného vyúčtování projektu.</w:t>
      </w:r>
    </w:p>
    <w:p w:rsidR="008A0230" w:rsidRPr="004133E3" w:rsidRDefault="00766EDA" w:rsidP="00766EDA">
      <w:pPr>
        <w:numPr>
          <w:ilvl w:val="0"/>
          <w:numId w:val="14"/>
        </w:numPr>
        <w:spacing w:before="240"/>
        <w:ind w:left="360"/>
        <w:jc w:val="both"/>
        <w:rPr>
          <w:sz w:val="22"/>
        </w:rPr>
      </w:pPr>
      <w:r w:rsidRPr="004133E3">
        <w:rPr>
          <w:sz w:val="22"/>
        </w:rPr>
        <w:t>Složení škodní komise určuje ředitelka krajského úřadu,</w:t>
      </w:r>
      <w:r w:rsidR="00B45636" w:rsidRPr="004133E3">
        <w:rPr>
          <w:sz w:val="22"/>
        </w:rPr>
        <w:t xml:space="preserve"> nebo hejtman kraje, </w:t>
      </w:r>
      <w:r w:rsidR="00C61009" w:rsidRPr="004133E3">
        <w:rPr>
          <w:sz w:val="22"/>
        </w:rPr>
        <w:t xml:space="preserve">týká-li se projednávaná škoda členů zastupitelstva nebo ředitelky krajského úřadu nebo zástupce hejtmana kraje, pokud se projednává škoda způsobená hejtmanem, </w:t>
      </w:r>
      <w:r w:rsidRPr="004133E3">
        <w:rPr>
          <w:sz w:val="22"/>
        </w:rPr>
        <w:t xml:space="preserve">a to nejpozději </w:t>
      </w:r>
      <w:r w:rsidR="000F4FA2" w:rsidRPr="004133E3">
        <w:rPr>
          <w:sz w:val="22"/>
        </w:rPr>
        <w:t xml:space="preserve">5 pracovních </w:t>
      </w:r>
      <w:r w:rsidRPr="004133E3">
        <w:rPr>
          <w:sz w:val="22"/>
        </w:rPr>
        <w:t>dn</w:t>
      </w:r>
      <w:r w:rsidR="000F4FA2" w:rsidRPr="004133E3">
        <w:rPr>
          <w:sz w:val="22"/>
        </w:rPr>
        <w:t>ů</w:t>
      </w:r>
      <w:r w:rsidRPr="004133E3">
        <w:rPr>
          <w:sz w:val="22"/>
        </w:rPr>
        <w:t xml:space="preserve"> před</w:t>
      </w:r>
      <w:r w:rsidR="000F4FA2" w:rsidRPr="004133E3">
        <w:rPr>
          <w:sz w:val="22"/>
        </w:rPr>
        <w:t xml:space="preserve"> jednáním škodní komise</w:t>
      </w:r>
      <w:r w:rsidRPr="004133E3">
        <w:rPr>
          <w:sz w:val="22"/>
        </w:rPr>
        <w:t>. Nepřesáhne-li výše škody (i předpokládané) 1.000.000</w:t>
      </w:r>
      <w:r w:rsidR="00B45636" w:rsidRPr="004133E3">
        <w:rPr>
          <w:sz w:val="22"/>
        </w:rPr>
        <w:t>,00</w:t>
      </w:r>
      <w:r w:rsidRPr="004133E3">
        <w:rPr>
          <w:sz w:val="22"/>
        </w:rPr>
        <w:t xml:space="preserve"> Kč, je škodní komise tříčlenná a</w:t>
      </w:r>
      <w:r w:rsidR="00B65B4F" w:rsidRPr="004133E3">
        <w:rPr>
          <w:sz w:val="22"/>
        </w:rPr>
        <w:t> </w:t>
      </w:r>
      <w:r w:rsidRPr="004133E3">
        <w:rPr>
          <w:sz w:val="22"/>
        </w:rPr>
        <w:t>skládá se z</w:t>
      </w:r>
      <w:r w:rsidR="009F7CE7">
        <w:rPr>
          <w:sz w:val="22"/>
        </w:rPr>
        <w:t> </w:t>
      </w:r>
      <w:r w:rsidRPr="004133E3">
        <w:rPr>
          <w:sz w:val="22"/>
        </w:rPr>
        <w:t xml:space="preserve">vedoucího finančního odboru nebo jeho zástupce, </w:t>
      </w:r>
      <w:r w:rsidR="00D257CD" w:rsidRPr="004133E3">
        <w:rPr>
          <w:sz w:val="22"/>
        </w:rPr>
        <w:t>vedoucího věcně příslušného odboru nebo jeho zástupce</w:t>
      </w:r>
      <w:r w:rsidRPr="004133E3">
        <w:rPr>
          <w:sz w:val="22"/>
        </w:rPr>
        <w:t xml:space="preserve"> a člena rady kraje odpovědného za oblast ekonomiky, popř.</w:t>
      </w:r>
      <w:r w:rsidR="00B65B4F" w:rsidRPr="004133E3">
        <w:rPr>
          <w:sz w:val="22"/>
        </w:rPr>
        <w:t> </w:t>
      </w:r>
      <w:r w:rsidRPr="004133E3">
        <w:rPr>
          <w:sz w:val="22"/>
        </w:rPr>
        <w:t>jiného člena rady.</w:t>
      </w:r>
      <w:r w:rsidR="000F4FA2" w:rsidRPr="004133E3">
        <w:rPr>
          <w:sz w:val="22"/>
        </w:rPr>
        <w:t xml:space="preserve"> Škodu způsobenou vedoucím </w:t>
      </w:r>
      <w:r w:rsidR="00BA292B" w:rsidRPr="004133E3">
        <w:rPr>
          <w:sz w:val="22"/>
        </w:rPr>
        <w:t>o</w:t>
      </w:r>
      <w:r w:rsidR="000F4FA2" w:rsidRPr="004133E3">
        <w:rPr>
          <w:sz w:val="22"/>
        </w:rPr>
        <w:t>dboru</w:t>
      </w:r>
      <w:r w:rsidR="0073082A" w:rsidRPr="004133E3">
        <w:rPr>
          <w:sz w:val="22"/>
        </w:rPr>
        <w:t xml:space="preserve"> krajského úřadu</w:t>
      </w:r>
      <w:r w:rsidR="000F4FA2" w:rsidRPr="004133E3">
        <w:rPr>
          <w:sz w:val="22"/>
        </w:rPr>
        <w:t xml:space="preserve"> </w:t>
      </w:r>
      <w:r w:rsidR="00BA292B" w:rsidRPr="004133E3">
        <w:rPr>
          <w:sz w:val="22"/>
        </w:rPr>
        <w:t xml:space="preserve">vyjma vedoucího odboru legislativního a právního a krajský živnostenský úřad </w:t>
      </w:r>
      <w:r w:rsidR="000F4FA2" w:rsidRPr="004133E3">
        <w:rPr>
          <w:sz w:val="22"/>
        </w:rPr>
        <w:t xml:space="preserve">projedná tříčlenná škodní komise ve složení ředitelka krajského úřadu nebo její zástupce, </w:t>
      </w:r>
      <w:r w:rsidR="00D257CD" w:rsidRPr="004133E3">
        <w:rPr>
          <w:sz w:val="22"/>
        </w:rPr>
        <w:t>vedoucí odboru legislativního a právního a krajský živnostenský úřad či jeho zástupce</w:t>
      </w:r>
      <w:r w:rsidR="000F4FA2" w:rsidRPr="004133E3">
        <w:rPr>
          <w:sz w:val="22"/>
        </w:rPr>
        <w:t xml:space="preserve"> a člen rady kraje odpovědný za oblast ekonomiky, popř. jiný člen rady. </w:t>
      </w:r>
      <w:r w:rsidR="00BA292B" w:rsidRPr="004133E3">
        <w:rPr>
          <w:sz w:val="22"/>
        </w:rPr>
        <w:t xml:space="preserve">Způsobí-li škodu vedoucí odboru legislativního a právního a krajský živnostenský úřad, je škodní komise tříčlenná a skládá se z ředitelky krajského úřadu nebo jejího zástupce, druhého zástupce ředitelky úřadu </w:t>
      </w:r>
      <w:r w:rsidR="009E61DD" w:rsidRPr="004133E3">
        <w:rPr>
          <w:sz w:val="22"/>
        </w:rPr>
        <w:t xml:space="preserve">či jeho zástupce </w:t>
      </w:r>
      <w:r w:rsidR="00BA292B" w:rsidRPr="004133E3">
        <w:rPr>
          <w:sz w:val="22"/>
        </w:rPr>
        <w:t xml:space="preserve">a člena rady kraje odpovědného za oblast ekonomiky, popř. jiného člena rady. </w:t>
      </w:r>
      <w:r w:rsidR="000F4FA2" w:rsidRPr="004133E3">
        <w:rPr>
          <w:sz w:val="22"/>
        </w:rPr>
        <w:t>Pokud škodu způsobí ředitelka krajského úřadu</w:t>
      </w:r>
      <w:r w:rsidR="00C61009" w:rsidRPr="004133E3">
        <w:rPr>
          <w:sz w:val="22"/>
        </w:rPr>
        <w:t xml:space="preserve"> nebo člen zastupitelstva</w:t>
      </w:r>
      <w:r w:rsidR="008A0230" w:rsidRPr="004133E3">
        <w:rPr>
          <w:sz w:val="22"/>
        </w:rPr>
        <w:t>, projedná daný škodní případ tříčlenná škodní komise ve složení hejtman kraje či je</w:t>
      </w:r>
      <w:r w:rsidR="004A48A7" w:rsidRPr="004133E3">
        <w:rPr>
          <w:sz w:val="22"/>
        </w:rPr>
        <w:t>ho</w:t>
      </w:r>
      <w:r w:rsidR="008A0230" w:rsidRPr="004133E3">
        <w:rPr>
          <w:sz w:val="22"/>
        </w:rPr>
        <w:t xml:space="preserve"> zástupce, </w:t>
      </w:r>
      <w:r w:rsidR="00277137" w:rsidRPr="004133E3">
        <w:rPr>
          <w:sz w:val="22"/>
        </w:rPr>
        <w:t>vedoucí odboru legislativního a právního a krajský živnostenský úřad či jeho zástupce</w:t>
      </w:r>
      <w:r w:rsidR="008A0230" w:rsidRPr="004133E3">
        <w:rPr>
          <w:sz w:val="22"/>
        </w:rPr>
        <w:t xml:space="preserve"> a člen rady kraje</w:t>
      </w:r>
      <w:r w:rsidR="005E2456" w:rsidRPr="004133E3">
        <w:rPr>
          <w:sz w:val="22"/>
        </w:rPr>
        <w:t xml:space="preserve"> odpovědný za oblast ekonomiky, popř. jiný člen rady</w:t>
      </w:r>
      <w:r w:rsidR="008A0230" w:rsidRPr="004133E3">
        <w:rPr>
          <w:sz w:val="22"/>
        </w:rPr>
        <w:t>.</w:t>
      </w:r>
      <w:r w:rsidR="00C61009" w:rsidRPr="004133E3">
        <w:rPr>
          <w:sz w:val="22"/>
        </w:rPr>
        <w:t xml:space="preserve"> V případě, že škodu způsobí hejtman kraje, projedná škodní případ tříčlenná škodní komise složená ze zástupce hejtmana kraje, </w:t>
      </w:r>
      <w:r w:rsidR="00277137" w:rsidRPr="004133E3">
        <w:rPr>
          <w:sz w:val="22"/>
        </w:rPr>
        <w:t>vedoucí odboru legislativního a právního a krajský živnostenský úřad či jeho zástupce</w:t>
      </w:r>
      <w:r w:rsidR="00C61009" w:rsidRPr="004133E3">
        <w:rPr>
          <w:sz w:val="22"/>
        </w:rPr>
        <w:t xml:space="preserve"> a člena rady kraje odpovědného za </w:t>
      </w:r>
      <w:r w:rsidR="00032AA8" w:rsidRPr="004133E3">
        <w:rPr>
          <w:sz w:val="22"/>
        </w:rPr>
        <w:t xml:space="preserve">oblast </w:t>
      </w:r>
      <w:r w:rsidR="00C61009" w:rsidRPr="004133E3">
        <w:rPr>
          <w:sz w:val="22"/>
        </w:rPr>
        <w:t>ekonomik</w:t>
      </w:r>
      <w:r w:rsidR="00032AA8" w:rsidRPr="004133E3">
        <w:rPr>
          <w:sz w:val="22"/>
        </w:rPr>
        <w:t>y</w:t>
      </w:r>
      <w:r w:rsidR="00C61009" w:rsidRPr="004133E3">
        <w:rPr>
          <w:sz w:val="22"/>
        </w:rPr>
        <w:t>, popř. jiného člena rady kraje.</w:t>
      </w:r>
      <w:r w:rsidR="00D257CD" w:rsidRPr="004133E3">
        <w:rPr>
          <w:sz w:val="22"/>
        </w:rPr>
        <w:t xml:space="preserve"> </w:t>
      </w:r>
      <w:r w:rsidR="00191BD3" w:rsidRPr="004133E3">
        <w:rPr>
          <w:sz w:val="22"/>
        </w:rPr>
        <w:t>Nebude-li z</w:t>
      </w:r>
      <w:r w:rsidR="00D257CD" w:rsidRPr="004133E3">
        <w:rPr>
          <w:sz w:val="22"/>
        </w:rPr>
        <w:t xml:space="preserve">aměstnanec kraje s úplným právnickým vzděláním vykonávající činnost právníka </w:t>
      </w:r>
      <w:r w:rsidR="00191BD3" w:rsidRPr="004133E3">
        <w:rPr>
          <w:sz w:val="22"/>
        </w:rPr>
        <w:t>přímo členem</w:t>
      </w:r>
      <w:r w:rsidR="00D257CD" w:rsidRPr="004133E3">
        <w:rPr>
          <w:sz w:val="22"/>
        </w:rPr>
        <w:t xml:space="preserve"> tříčlenné škod</w:t>
      </w:r>
      <w:r w:rsidR="00191BD3" w:rsidRPr="004133E3">
        <w:rPr>
          <w:sz w:val="22"/>
        </w:rPr>
        <w:t>ní</w:t>
      </w:r>
      <w:r w:rsidR="00D257CD" w:rsidRPr="004133E3">
        <w:rPr>
          <w:sz w:val="22"/>
        </w:rPr>
        <w:t xml:space="preserve"> komise</w:t>
      </w:r>
      <w:r w:rsidR="00191BD3" w:rsidRPr="004133E3">
        <w:rPr>
          <w:sz w:val="22"/>
        </w:rPr>
        <w:t>, zúčastní se jednání škodní komise</w:t>
      </w:r>
      <w:r w:rsidR="00D257CD" w:rsidRPr="004133E3">
        <w:rPr>
          <w:sz w:val="22"/>
        </w:rPr>
        <w:t xml:space="preserve"> jako odborný poradce bez hlasovacího práva.</w:t>
      </w:r>
    </w:p>
    <w:p w:rsidR="00DE6CB6" w:rsidRDefault="00766EDA" w:rsidP="00766EDA">
      <w:pPr>
        <w:numPr>
          <w:ilvl w:val="0"/>
          <w:numId w:val="14"/>
        </w:numPr>
        <w:spacing w:before="240"/>
        <w:ind w:left="360"/>
        <w:jc w:val="both"/>
        <w:rPr>
          <w:sz w:val="22"/>
        </w:rPr>
      </w:pPr>
      <w:r w:rsidRPr="00A25761">
        <w:rPr>
          <w:sz w:val="22"/>
        </w:rPr>
        <w:t>Překročí-li výše škody (i předpokládané) 1.000.000</w:t>
      </w:r>
      <w:r w:rsidR="00B45636">
        <w:rPr>
          <w:sz w:val="22"/>
        </w:rPr>
        <w:t>,00</w:t>
      </w:r>
      <w:r w:rsidRPr="00A25761">
        <w:rPr>
          <w:sz w:val="22"/>
        </w:rPr>
        <w:t xml:space="preserve"> Kč, je škodní komise pětičlenná a skládá se</w:t>
      </w:r>
      <w:r w:rsidR="00B65B4F">
        <w:rPr>
          <w:sz w:val="22"/>
        </w:rPr>
        <w:t> </w:t>
      </w:r>
      <w:r w:rsidRPr="00A25761">
        <w:rPr>
          <w:sz w:val="22"/>
        </w:rPr>
        <w:t>z</w:t>
      </w:r>
      <w:r w:rsidR="0018781F">
        <w:rPr>
          <w:sz w:val="22"/>
        </w:rPr>
        <w:t> </w:t>
      </w:r>
      <w:r w:rsidRPr="00A25761">
        <w:rPr>
          <w:sz w:val="22"/>
        </w:rPr>
        <w:t>vedoucího finančního odboru či jeho zástupce, člena pracovní skupiny pro řešení finančních postihů</w:t>
      </w:r>
      <w:r w:rsidRPr="00A25761">
        <w:rPr>
          <w:rStyle w:val="Znakapoznpodarou"/>
          <w:sz w:val="22"/>
        </w:rPr>
        <w:footnoteReference w:id="15"/>
      </w:r>
      <w:r w:rsidRPr="00A25761">
        <w:rPr>
          <w:sz w:val="22"/>
        </w:rPr>
        <w:t xml:space="preserve"> v případě finančních postihů souvisejících s projekty, v ostatních případech zaměstnance odboru </w:t>
      </w:r>
      <w:r w:rsidR="00DE6CB6">
        <w:rPr>
          <w:sz w:val="22"/>
        </w:rPr>
        <w:t>kancelář ředitelky úřadu</w:t>
      </w:r>
      <w:r w:rsidRPr="00A25761">
        <w:rPr>
          <w:sz w:val="22"/>
        </w:rPr>
        <w:t>, zaměstnance kraje s úplným právnickým vzděláním vykonávajícího činnost právníka, člena rady kraje odpovědného za oblast ekonomiky či jiného člena rady kraje a</w:t>
      </w:r>
      <w:r w:rsidR="00B65B4F">
        <w:rPr>
          <w:sz w:val="22"/>
        </w:rPr>
        <w:t> </w:t>
      </w:r>
      <w:r w:rsidRPr="00A25761">
        <w:rPr>
          <w:sz w:val="22"/>
        </w:rPr>
        <w:t>vedoucího odboru zaměstnance, který škodu způsobil</w:t>
      </w:r>
      <w:r w:rsidR="00DE6CB6">
        <w:rPr>
          <w:sz w:val="22"/>
        </w:rPr>
        <w:t xml:space="preserve"> nebo v případě finančních postihů souvisejících s projekty vedoucího odboru, kterým je projekt realizován</w:t>
      </w:r>
      <w:r w:rsidRPr="00A25761">
        <w:rPr>
          <w:sz w:val="22"/>
        </w:rPr>
        <w:t xml:space="preserve">. </w:t>
      </w:r>
      <w:r w:rsidR="00DE6CB6">
        <w:rPr>
          <w:sz w:val="22"/>
        </w:rPr>
        <w:t>Způsobí-li škodu vedoucí odboru</w:t>
      </w:r>
      <w:r w:rsidR="00E21052">
        <w:rPr>
          <w:sz w:val="22"/>
        </w:rPr>
        <w:t>,</w:t>
      </w:r>
      <w:r w:rsidR="00DE6CB6">
        <w:rPr>
          <w:sz w:val="22"/>
        </w:rPr>
        <w:t xml:space="preserve"> skládá se pětičlenná škodní komise z ředitelky krajského úřadu či</w:t>
      </w:r>
      <w:r w:rsidR="00B65B4F">
        <w:rPr>
          <w:sz w:val="22"/>
        </w:rPr>
        <w:t> </w:t>
      </w:r>
      <w:r w:rsidR="00DE6CB6">
        <w:rPr>
          <w:sz w:val="22"/>
        </w:rPr>
        <w:t xml:space="preserve">jejího zástupce, zaměstnance odboru kancelář ředitelky, zaměstnance kraje s úplným právnickým vzděláním vykonávajícího činnost právníka, vedoucího odboru legislativního a právního a krajský živnostenský úřad </w:t>
      </w:r>
      <w:r w:rsidR="002629DE">
        <w:rPr>
          <w:sz w:val="22"/>
        </w:rPr>
        <w:t xml:space="preserve">či jeho zástupce </w:t>
      </w:r>
      <w:r w:rsidR="00DE6CB6">
        <w:rPr>
          <w:sz w:val="22"/>
        </w:rPr>
        <w:t>a člena rady odpovědného za oblast ekonomiky či jiného člena rady.</w:t>
      </w:r>
      <w:r w:rsidR="00126D1E">
        <w:rPr>
          <w:sz w:val="22"/>
        </w:rPr>
        <w:t xml:space="preserve"> V případě škody způsobené vedoucím odboru legislativního a právního a krajský živnostenský úřad se pětičlenná škodní komise skládá z ředitelky krajského úřadu či jejího zástupce, zaměstnance odboru kancelář ředitelky, zaměstnance kraje s úplným právnickým vzděláním vykonávajícího činnost právníka, druhého zástupce ředitelky krajského úřadu či jeho zástupce a člena rady odpovědného za oblast ekonomiky či jiného člena rady.</w:t>
      </w:r>
      <w:r w:rsidR="00DE6CB6">
        <w:rPr>
          <w:sz w:val="22"/>
        </w:rPr>
        <w:t xml:space="preserve"> Škodu způsobenou</w:t>
      </w:r>
      <w:r w:rsidR="00032AA8">
        <w:rPr>
          <w:sz w:val="22"/>
        </w:rPr>
        <w:t xml:space="preserve"> </w:t>
      </w:r>
      <w:r w:rsidR="00DE6CB6">
        <w:rPr>
          <w:sz w:val="22"/>
        </w:rPr>
        <w:t xml:space="preserve">ředitelkou krajského úřadu </w:t>
      </w:r>
      <w:r w:rsidR="00FE0613">
        <w:rPr>
          <w:sz w:val="22"/>
        </w:rPr>
        <w:t xml:space="preserve">nebo členem zastupitelstva </w:t>
      </w:r>
      <w:r w:rsidR="00DE6CB6">
        <w:rPr>
          <w:sz w:val="22"/>
        </w:rPr>
        <w:t>řeší pětičlenná škodní komise složená z </w:t>
      </w:r>
      <w:r w:rsidR="00DE6CB6" w:rsidRPr="009E6EAF">
        <w:rPr>
          <w:sz w:val="22"/>
        </w:rPr>
        <w:t>hejtman</w:t>
      </w:r>
      <w:r w:rsidR="004A48A7" w:rsidRPr="009E6EAF">
        <w:rPr>
          <w:sz w:val="22"/>
        </w:rPr>
        <w:t>a</w:t>
      </w:r>
      <w:r w:rsidR="00DE6CB6" w:rsidRPr="009E6EAF">
        <w:rPr>
          <w:sz w:val="22"/>
        </w:rPr>
        <w:t xml:space="preserve"> kraje či</w:t>
      </w:r>
      <w:r w:rsidR="00B65B4F">
        <w:rPr>
          <w:sz w:val="22"/>
        </w:rPr>
        <w:t> </w:t>
      </w:r>
      <w:r w:rsidR="00DE6CB6" w:rsidRPr="009E6EAF">
        <w:rPr>
          <w:sz w:val="22"/>
        </w:rPr>
        <w:t>jeho</w:t>
      </w:r>
      <w:r w:rsidR="00DE6CB6">
        <w:rPr>
          <w:sz w:val="22"/>
        </w:rPr>
        <w:t xml:space="preserve"> zástupce, vedoucího odboru finančního</w:t>
      </w:r>
      <w:r w:rsidR="002629DE">
        <w:rPr>
          <w:sz w:val="22"/>
        </w:rPr>
        <w:t xml:space="preserve"> nebo jeho zástupce</w:t>
      </w:r>
      <w:r w:rsidR="00DE6CB6">
        <w:rPr>
          <w:sz w:val="22"/>
        </w:rPr>
        <w:t>, zaměstnance kraje s úplným právnickým vzděláním vykonávajícího činnost právníka, vedoucího odboru legislativního a právního a</w:t>
      </w:r>
      <w:r w:rsidR="00B65B4F">
        <w:rPr>
          <w:sz w:val="22"/>
        </w:rPr>
        <w:t> </w:t>
      </w:r>
      <w:r w:rsidR="00DE6CB6">
        <w:rPr>
          <w:sz w:val="22"/>
        </w:rPr>
        <w:t>krajský živnostenský úřad</w:t>
      </w:r>
      <w:r w:rsidR="002629DE">
        <w:rPr>
          <w:sz w:val="22"/>
        </w:rPr>
        <w:t xml:space="preserve"> či jeho zá</w:t>
      </w:r>
      <w:r w:rsidR="004E309D">
        <w:rPr>
          <w:sz w:val="22"/>
        </w:rPr>
        <w:t>s</w:t>
      </w:r>
      <w:r w:rsidR="002629DE">
        <w:rPr>
          <w:sz w:val="22"/>
        </w:rPr>
        <w:t>tupce</w:t>
      </w:r>
      <w:r w:rsidR="00DE6CB6">
        <w:rPr>
          <w:sz w:val="22"/>
        </w:rPr>
        <w:t xml:space="preserve"> a člena rady </w:t>
      </w:r>
      <w:r w:rsidR="004E309D">
        <w:rPr>
          <w:sz w:val="22"/>
        </w:rPr>
        <w:t>odpovědného za oblast ekonomiky či jiného člena rady</w:t>
      </w:r>
      <w:r w:rsidR="00DE6CB6">
        <w:rPr>
          <w:sz w:val="22"/>
        </w:rPr>
        <w:t xml:space="preserve">. </w:t>
      </w:r>
      <w:r w:rsidR="00032AA8">
        <w:rPr>
          <w:sz w:val="22"/>
        </w:rPr>
        <w:t>Pokud škodu způsobí hejtman kraje, projedná škodní případ pětičlenná škodní komise složená ze zástupce hejtmana, vedoucího finančního odboru</w:t>
      </w:r>
      <w:r w:rsidR="00FE0613">
        <w:rPr>
          <w:sz w:val="22"/>
        </w:rPr>
        <w:t xml:space="preserve"> nebo jeho zástupce</w:t>
      </w:r>
      <w:r w:rsidR="00032AA8">
        <w:rPr>
          <w:sz w:val="22"/>
        </w:rPr>
        <w:t>, zaměstnance kraje s úplným právnickým vzděláním vykonávajícího činnost právníka</w:t>
      </w:r>
      <w:r w:rsidR="0051141B">
        <w:rPr>
          <w:sz w:val="22"/>
        </w:rPr>
        <w:t>, vedoucího odboru legislativního a právního a krajský živnostenský úřad či jeho zástupce</w:t>
      </w:r>
      <w:r w:rsidR="00032AA8">
        <w:rPr>
          <w:sz w:val="22"/>
        </w:rPr>
        <w:t xml:space="preserve"> a člena rady kraje odpovědného za oblast ekonomiky či jiného člena rady kraje.</w:t>
      </w:r>
    </w:p>
    <w:p w:rsidR="00C24DBD" w:rsidRDefault="00C24DBD" w:rsidP="00766EDA">
      <w:pPr>
        <w:numPr>
          <w:ilvl w:val="0"/>
          <w:numId w:val="14"/>
        </w:numPr>
        <w:spacing w:before="240"/>
        <w:ind w:left="360"/>
        <w:jc w:val="both"/>
        <w:rPr>
          <w:sz w:val="22"/>
        </w:rPr>
      </w:pPr>
      <w:r>
        <w:rPr>
          <w:sz w:val="22"/>
        </w:rPr>
        <w:t>Dojde-li v rámci jednoho projektu opakovaně ke vzniku škody týkající se stejného pochybení, které již škodní komise projednala a o kterém již bylo v souladu s doporučením škodní komise vedoucím finančního odboru rozhodnuto, vydá vedoucí finančního odboru rozhodnutí o náhradě škody v souladu se svým předešlým rozhodnutím bez jednání škodní komise, ledaže by si některá s dotčených stran vyžádala projednání škodního případu ve škodní komisi např. s ohledem na nově zjištěné skutečnosti</w:t>
      </w:r>
      <w:r w:rsidR="00D67178">
        <w:rPr>
          <w:sz w:val="22"/>
        </w:rPr>
        <w:t>, které při předchozím jednání škodní komise nebyly známy, atd</w:t>
      </w:r>
      <w:r>
        <w:rPr>
          <w:sz w:val="22"/>
        </w:rPr>
        <w:t>.</w:t>
      </w:r>
    </w:p>
    <w:p w:rsidR="00766EDA" w:rsidRPr="00A25761" w:rsidRDefault="00766EDA" w:rsidP="00766EDA">
      <w:pPr>
        <w:numPr>
          <w:ilvl w:val="0"/>
          <w:numId w:val="14"/>
        </w:numPr>
        <w:spacing w:before="240"/>
        <w:ind w:left="360"/>
        <w:jc w:val="both"/>
        <w:rPr>
          <w:sz w:val="22"/>
        </w:rPr>
      </w:pPr>
      <w:r w:rsidRPr="00A25761">
        <w:rPr>
          <w:sz w:val="22"/>
        </w:rPr>
        <w:t xml:space="preserve">Ředitelka krajského úřadu osloví </w:t>
      </w:r>
      <w:r w:rsidR="00C24DBD">
        <w:rPr>
          <w:sz w:val="22"/>
        </w:rPr>
        <w:t xml:space="preserve">všechny </w:t>
      </w:r>
      <w:r w:rsidRPr="00A25761">
        <w:rPr>
          <w:sz w:val="22"/>
        </w:rPr>
        <w:t>dotčené členy škodní komise e-mailem nejdéle 5 pracovních dnů před jednáním škodní komise pro každý jednotlivý škodní případ tak, aby byl na jednání škodní komise přítomen vždy potřebný počet členů škodní komise dle předpisu.</w:t>
      </w:r>
      <w:r w:rsidR="00C24DBD">
        <w:rPr>
          <w:sz w:val="22"/>
        </w:rPr>
        <w:t xml:space="preserve"> Stejným způsobem určí složení škodní komise </w:t>
      </w:r>
      <w:r w:rsidR="00C24DBD" w:rsidRPr="009E6EAF">
        <w:rPr>
          <w:sz w:val="22"/>
        </w:rPr>
        <w:t>hejtman</w:t>
      </w:r>
      <w:r w:rsidR="00C24DBD">
        <w:rPr>
          <w:sz w:val="22"/>
        </w:rPr>
        <w:t xml:space="preserve"> kraje, způsobí-li škodu přesahující částku 10.000</w:t>
      </w:r>
      <w:r w:rsidR="00654B3B">
        <w:rPr>
          <w:sz w:val="22"/>
        </w:rPr>
        <w:t>,00</w:t>
      </w:r>
      <w:r w:rsidR="00C24DBD">
        <w:rPr>
          <w:sz w:val="22"/>
        </w:rPr>
        <w:t xml:space="preserve"> Kč ředitelka krajského úřadu</w:t>
      </w:r>
      <w:r w:rsidR="00032AA8">
        <w:rPr>
          <w:sz w:val="22"/>
        </w:rPr>
        <w:t xml:space="preserve"> či člen zastupitel</w:t>
      </w:r>
      <w:r w:rsidR="00654B3B">
        <w:rPr>
          <w:sz w:val="22"/>
        </w:rPr>
        <w:t>s</w:t>
      </w:r>
      <w:r w:rsidR="00032AA8">
        <w:rPr>
          <w:sz w:val="22"/>
        </w:rPr>
        <w:t>tva nebo zástupce hejtmana, způsob</w:t>
      </w:r>
      <w:r w:rsidR="00654B3B">
        <w:rPr>
          <w:sz w:val="22"/>
        </w:rPr>
        <w:t>í-li</w:t>
      </w:r>
      <w:r w:rsidR="00032AA8">
        <w:rPr>
          <w:sz w:val="22"/>
        </w:rPr>
        <w:t xml:space="preserve"> škodu přesahující částku 10.000,00 Kč </w:t>
      </w:r>
      <w:r w:rsidR="00654B3B">
        <w:rPr>
          <w:sz w:val="22"/>
        </w:rPr>
        <w:t>hejtman kraje</w:t>
      </w:r>
      <w:r w:rsidR="00C24DBD">
        <w:rPr>
          <w:sz w:val="22"/>
        </w:rPr>
        <w:t>.</w:t>
      </w:r>
    </w:p>
    <w:p w:rsidR="00766EDA" w:rsidRPr="00BE3C7D" w:rsidRDefault="00766EDA" w:rsidP="00766EDA">
      <w:pPr>
        <w:numPr>
          <w:ilvl w:val="0"/>
          <w:numId w:val="14"/>
        </w:numPr>
        <w:spacing w:before="240"/>
        <w:ind w:left="360"/>
        <w:jc w:val="both"/>
        <w:rPr>
          <w:sz w:val="22"/>
        </w:rPr>
      </w:pPr>
      <w:r w:rsidRPr="00A25761">
        <w:rPr>
          <w:sz w:val="22"/>
        </w:rPr>
        <w:t xml:space="preserve">Škodní komise se schází dle potřeby, nejdéle vždy do </w:t>
      </w:r>
      <w:r w:rsidR="00C24DBD">
        <w:rPr>
          <w:sz w:val="22"/>
        </w:rPr>
        <w:t>2</w:t>
      </w:r>
      <w:r w:rsidRPr="00A25761">
        <w:rPr>
          <w:sz w:val="22"/>
        </w:rPr>
        <w:t xml:space="preserve">0 pracovních dnů ode dne </w:t>
      </w:r>
      <w:r w:rsidRPr="00BE3C7D">
        <w:rPr>
          <w:sz w:val="22"/>
        </w:rPr>
        <w:t xml:space="preserve">vyhotovení </w:t>
      </w:r>
      <w:r w:rsidR="00056972" w:rsidRPr="00BE3C7D">
        <w:rPr>
          <w:sz w:val="22"/>
        </w:rPr>
        <w:t>záznamu</w:t>
      </w:r>
      <w:r w:rsidRPr="00BE3C7D">
        <w:rPr>
          <w:sz w:val="22"/>
        </w:rPr>
        <w:t>. Po stanovení přesného termínu jednání škodní komise informuje předseda škodní komise či jeho zástupce písemně</w:t>
      </w:r>
      <w:r w:rsidR="00F872EB">
        <w:rPr>
          <w:sz w:val="22"/>
        </w:rPr>
        <w:t xml:space="preserve"> prostřednictvím eSSL</w:t>
      </w:r>
      <w:r w:rsidR="0068385A">
        <w:rPr>
          <w:sz w:val="22"/>
        </w:rPr>
        <w:t xml:space="preserve"> </w:t>
      </w:r>
      <w:r w:rsidR="00F872EB">
        <w:rPr>
          <w:sz w:val="22"/>
        </w:rPr>
        <w:t>Athena</w:t>
      </w:r>
      <w:r w:rsidRPr="00BE3C7D">
        <w:rPr>
          <w:sz w:val="22"/>
        </w:rPr>
        <w:t xml:space="preserve"> dotčené strany o tom, kdy se jednání škodní komise bude konat. Jednání škodní komise řídí předseda, kterým je vedoucí finančního odboru či jeho zástupce, ledaže by škodu způsobil sám. V takovém případě se postupuje dle odst. </w:t>
      </w:r>
      <w:r w:rsidR="00654B3B">
        <w:rPr>
          <w:sz w:val="22"/>
        </w:rPr>
        <w:t>7</w:t>
      </w:r>
      <w:r w:rsidRPr="00BE3C7D">
        <w:rPr>
          <w:sz w:val="22"/>
        </w:rPr>
        <w:t xml:space="preserve"> tohoto článku.</w:t>
      </w:r>
    </w:p>
    <w:p w:rsidR="00766EDA" w:rsidRPr="00BE3C7D" w:rsidRDefault="00766EDA" w:rsidP="00766EDA">
      <w:pPr>
        <w:numPr>
          <w:ilvl w:val="0"/>
          <w:numId w:val="14"/>
        </w:numPr>
        <w:spacing w:before="240"/>
        <w:ind w:left="360"/>
        <w:jc w:val="both"/>
        <w:rPr>
          <w:sz w:val="22"/>
        </w:rPr>
      </w:pPr>
      <w:r w:rsidRPr="00BE3C7D">
        <w:rPr>
          <w:sz w:val="22"/>
        </w:rPr>
        <w:t>Členem škodní komise nemůže být osoba, která sama škodu způsobila, popř. způsobila-li škodu jí osoba blízká.</w:t>
      </w:r>
      <w:r w:rsidRPr="00BE3C7D">
        <w:rPr>
          <w:rStyle w:val="Znakapoznpodarou"/>
          <w:sz w:val="22"/>
        </w:rPr>
        <w:footnoteReference w:id="16"/>
      </w:r>
      <w:r w:rsidRPr="00BE3C7D">
        <w:rPr>
          <w:sz w:val="22"/>
        </w:rPr>
        <w:t xml:space="preserve"> V takovém případě musí člen škodní komise o této skutečnosti předem, tj. před jednáním škodní komise informovat ředitelku krajského úřadu</w:t>
      </w:r>
      <w:r w:rsidR="00654B3B">
        <w:rPr>
          <w:sz w:val="22"/>
        </w:rPr>
        <w:t>, hejtmana kraje či jeho zástupce</w:t>
      </w:r>
      <w:r w:rsidRPr="00BE3C7D">
        <w:rPr>
          <w:sz w:val="22"/>
        </w:rPr>
        <w:t>, kte</w:t>
      </w:r>
      <w:r w:rsidR="00654B3B">
        <w:rPr>
          <w:sz w:val="22"/>
        </w:rPr>
        <w:t>ří</w:t>
      </w:r>
      <w:r w:rsidRPr="00BE3C7D">
        <w:rPr>
          <w:sz w:val="22"/>
        </w:rPr>
        <w:t xml:space="preserve"> určí náhradníka za takto podjatého člena škodní komise.</w:t>
      </w:r>
    </w:p>
    <w:p w:rsidR="00766EDA" w:rsidRPr="00BE3C7D" w:rsidRDefault="00766EDA" w:rsidP="00766EDA">
      <w:pPr>
        <w:numPr>
          <w:ilvl w:val="0"/>
          <w:numId w:val="14"/>
        </w:numPr>
        <w:spacing w:before="240"/>
        <w:ind w:left="360"/>
        <w:jc w:val="both"/>
        <w:rPr>
          <w:sz w:val="22"/>
        </w:rPr>
      </w:pPr>
      <w:r w:rsidRPr="00BE3C7D">
        <w:rPr>
          <w:sz w:val="22"/>
        </w:rPr>
        <w:t>Škodní komise si před rozhodováním vyžádá písemná stanoviska všech dotčených stran, tj. zaměstnance či jiných subjektů, kterých se škodní případ dotýká, popř. si dotčené osoby přizve na své jednání. Škodní komise také vyhoví dotčeným osobám v případě jejich zájmu, účastnit se osobně jednání škodní komise.</w:t>
      </w:r>
    </w:p>
    <w:p w:rsidR="00766EDA" w:rsidRDefault="00766EDA" w:rsidP="00766EDA">
      <w:pPr>
        <w:numPr>
          <w:ilvl w:val="0"/>
          <w:numId w:val="14"/>
        </w:numPr>
        <w:spacing w:before="240"/>
        <w:ind w:left="360"/>
        <w:jc w:val="both"/>
        <w:rPr>
          <w:sz w:val="22"/>
        </w:rPr>
      </w:pPr>
      <w:r w:rsidRPr="00BE3C7D">
        <w:rPr>
          <w:sz w:val="22"/>
        </w:rPr>
        <w:t xml:space="preserve">Po řádném prošetření škodního případu, tj. prostudování </w:t>
      </w:r>
      <w:r w:rsidR="00056972" w:rsidRPr="00BE3C7D">
        <w:rPr>
          <w:sz w:val="22"/>
        </w:rPr>
        <w:t>záznamu</w:t>
      </w:r>
      <w:r w:rsidR="00957EC7" w:rsidRPr="00BE3C7D">
        <w:rPr>
          <w:sz w:val="22"/>
        </w:rPr>
        <w:t>, podkladů a dokumentů týkajících se</w:t>
      </w:r>
      <w:r w:rsidR="00B65B4F">
        <w:rPr>
          <w:sz w:val="22"/>
        </w:rPr>
        <w:t> </w:t>
      </w:r>
      <w:r w:rsidR="00957EC7" w:rsidRPr="00BE3C7D">
        <w:rPr>
          <w:sz w:val="22"/>
        </w:rPr>
        <w:t>škodního případu</w:t>
      </w:r>
      <w:r w:rsidRPr="00BE3C7D">
        <w:rPr>
          <w:sz w:val="22"/>
        </w:rPr>
        <w:t xml:space="preserve"> a vyslechnutí dotčených stran, škodní komise hlasuje. K přijetí </w:t>
      </w:r>
      <w:r w:rsidR="00957EC7" w:rsidRPr="00BE3C7D">
        <w:rPr>
          <w:sz w:val="22"/>
        </w:rPr>
        <w:t>doporučujícího</w:t>
      </w:r>
      <w:r w:rsidR="00957EC7">
        <w:rPr>
          <w:sz w:val="22"/>
        </w:rPr>
        <w:t xml:space="preserve"> </w:t>
      </w:r>
      <w:r>
        <w:rPr>
          <w:sz w:val="22"/>
        </w:rPr>
        <w:t>stanoviska škodní komise postačí prostá většina všech členů škodní komise. V případě nepřítomnosti některého člena škodní komise bude postupováno</w:t>
      </w:r>
      <w:r w:rsidR="00957EC7">
        <w:rPr>
          <w:sz w:val="22"/>
        </w:rPr>
        <w:t xml:space="preserve"> tak, že nepřítomného člena škodní komise zastoupí náhradník určený ředitelkou krajského úřadu, popř. </w:t>
      </w:r>
      <w:r w:rsidR="00957EC7" w:rsidRPr="000130EA">
        <w:rPr>
          <w:sz w:val="22"/>
        </w:rPr>
        <w:t>hejtman</w:t>
      </w:r>
      <w:r w:rsidR="00CA287C" w:rsidRPr="00BE3C7D">
        <w:rPr>
          <w:sz w:val="22"/>
        </w:rPr>
        <w:t>em</w:t>
      </w:r>
      <w:r w:rsidR="00957EC7">
        <w:rPr>
          <w:sz w:val="22"/>
        </w:rPr>
        <w:t xml:space="preserve"> kraje</w:t>
      </w:r>
      <w:r w:rsidR="00654B3B">
        <w:rPr>
          <w:sz w:val="22"/>
        </w:rPr>
        <w:t xml:space="preserve"> či jeho zástupcem</w:t>
      </w:r>
      <w:r w:rsidR="00957EC7">
        <w:rPr>
          <w:sz w:val="22"/>
        </w:rPr>
        <w:t xml:space="preserve"> před jednáním škodní komise</w:t>
      </w:r>
      <w:r>
        <w:rPr>
          <w:sz w:val="22"/>
        </w:rPr>
        <w:t xml:space="preserve">. </w:t>
      </w:r>
      <w:r w:rsidR="00734939">
        <w:rPr>
          <w:sz w:val="22"/>
        </w:rPr>
        <w:t>Ředitelka krajského úřadu</w:t>
      </w:r>
      <w:r w:rsidR="00654B3B">
        <w:rPr>
          <w:sz w:val="22"/>
        </w:rPr>
        <w:t>,</w:t>
      </w:r>
      <w:r w:rsidR="00734939">
        <w:rPr>
          <w:sz w:val="22"/>
        </w:rPr>
        <w:t xml:space="preserve"> </w:t>
      </w:r>
      <w:r w:rsidR="00734939" w:rsidRPr="000130EA">
        <w:rPr>
          <w:sz w:val="22"/>
        </w:rPr>
        <w:t>hejtman</w:t>
      </w:r>
      <w:r w:rsidR="00734939">
        <w:rPr>
          <w:sz w:val="22"/>
        </w:rPr>
        <w:t xml:space="preserve"> kraje </w:t>
      </w:r>
      <w:r w:rsidR="00654B3B">
        <w:rPr>
          <w:sz w:val="22"/>
        </w:rPr>
        <w:t xml:space="preserve">či jeho zástupce </w:t>
      </w:r>
      <w:r w:rsidR="00734939">
        <w:rPr>
          <w:sz w:val="22"/>
        </w:rPr>
        <w:t>osloví</w:t>
      </w:r>
      <w:r w:rsidR="00770AD1">
        <w:rPr>
          <w:sz w:val="22"/>
        </w:rPr>
        <w:t xml:space="preserve"> prostřednictvím eSSL Athena</w:t>
      </w:r>
      <w:r w:rsidR="00734939">
        <w:rPr>
          <w:sz w:val="22"/>
        </w:rPr>
        <w:t xml:space="preserve"> náhradníka za</w:t>
      </w:r>
      <w:r w:rsidR="00B65B4F">
        <w:rPr>
          <w:sz w:val="22"/>
        </w:rPr>
        <w:t> </w:t>
      </w:r>
      <w:r w:rsidR="00734939">
        <w:rPr>
          <w:sz w:val="22"/>
        </w:rPr>
        <w:t>nepřítomného člena škodní komise bez zbytečného prodlení poté, co jí bude známo, že se původně určený člen škodní komise na jednání nedostaví, nejpozději však 2 pracovní dny před jednáním škodní komise.</w:t>
      </w:r>
    </w:p>
    <w:p w:rsidR="00766EDA" w:rsidRPr="00BE3C7D" w:rsidRDefault="00766EDA" w:rsidP="0036587B">
      <w:pPr>
        <w:numPr>
          <w:ilvl w:val="0"/>
          <w:numId w:val="14"/>
        </w:numPr>
        <w:spacing w:before="240"/>
        <w:ind w:left="360"/>
        <w:jc w:val="both"/>
        <w:rPr>
          <w:sz w:val="22"/>
        </w:rPr>
      </w:pPr>
      <w:r>
        <w:rPr>
          <w:sz w:val="22"/>
        </w:rPr>
        <w:t>Po hlasování vydá škodní komise doporučující stanovisko pro rozhodnutí zaměstnavatele o škodním případu, tj. o výši škody a o tom, kdo</w:t>
      </w:r>
      <w:r w:rsidR="00C71105">
        <w:rPr>
          <w:sz w:val="22"/>
        </w:rPr>
        <w:t>, v jaké výši</w:t>
      </w:r>
      <w:r>
        <w:rPr>
          <w:sz w:val="22"/>
        </w:rPr>
        <w:t xml:space="preserve"> a jak bude škodu hradit, přičemž přihlédne ke všem okolnostem daného případu. Vydání písemného rozhodnutí zaměstnavatele o úhradě škody způsobené zaměstnancem</w:t>
      </w:r>
      <w:r w:rsidR="00C71105">
        <w:rPr>
          <w:sz w:val="22"/>
        </w:rPr>
        <w:t xml:space="preserve">, </w:t>
      </w:r>
      <w:r>
        <w:rPr>
          <w:sz w:val="22"/>
        </w:rPr>
        <w:t>zajišťuje vedoucí finančního odboru</w:t>
      </w:r>
      <w:r w:rsidR="007157D8">
        <w:rPr>
          <w:sz w:val="22"/>
        </w:rPr>
        <w:t xml:space="preserve"> nebo jeho zástupce</w:t>
      </w:r>
      <w:r>
        <w:rPr>
          <w:sz w:val="22"/>
        </w:rPr>
        <w:t xml:space="preserve"> v souladu s doporučujícím stanoviskem škodní komise, a to do </w:t>
      </w:r>
      <w:r w:rsidR="00F74FCC">
        <w:rPr>
          <w:sz w:val="22"/>
        </w:rPr>
        <w:t>20</w:t>
      </w:r>
      <w:r>
        <w:rPr>
          <w:sz w:val="22"/>
        </w:rPr>
        <w:t xml:space="preserve"> pracovních dnů ode dne, kdy se jednání škodní komise uskutečnilo. Způsobí-li škodu vedoucí finančního odboru, vydává rozhodnutí zaměstnavatele o úhradě škody způsobené zaměstnancem ředitelka krajského úřadu v souladu s doporučujícím stanoviskem škodní komise</w:t>
      </w:r>
      <w:r w:rsidR="00D67178">
        <w:rPr>
          <w:sz w:val="22"/>
        </w:rPr>
        <w:t xml:space="preserve"> do 20 pracovních dnů ode dne, kdy se jednání škodní komise uskutečnilo</w:t>
      </w:r>
      <w:r>
        <w:rPr>
          <w:sz w:val="22"/>
        </w:rPr>
        <w:t>.</w:t>
      </w:r>
      <w:r w:rsidR="00F74FCC">
        <w:rPr>
          <w:sz w:val="22"/>
        </w:rPr>
        <w:t xml:space="preserve"> V případě škody způsobené ředitelkou krajského úřadu </w:t>
      </w:r>
      <w:r w:rsidR="00CA3430">
        <w:rPr>
          <w:sz w:val="22"/>
        </w:rPr>
        <w:t xml:space="preserve">nebo členem zastupitelstva </w:t>
      </w:r>
      <w:r w:rsidR="00F74FCC">
        <w:rPr>
          <w:sz w:val="22"/>
        </w:rPr>
        <w:t xml:space="preserve">vydává rozhodnutí zaměstnavatele o úhradě škody způsobené zaměstnancem </w:t>
      </w:r>
      <w:r w:rsidR="00F74FCC" w:rsidRPr="009E6EAF">
        <w:rPr>
          <w:sz w:val="22"/>
        </w:rPr>
        <w:t>hejtman</w:t>
      </w:r>
      <w:r w:rsidR="00F74FCC">
        <w:rPr>
          <w:sz w:val="22"/>
        </w:rPr>
        <w:t xml:space="preserve"> kraje na základě doporučujícího stanoviska škodní komise</w:t>
      </w:r>
      <w:r w:rsidR="00D67178">
        <w:rPr>
          <w:sz w:val="22"/>
        </w:rPr>
        <w:t xml:space="preserve"> rovněž ve lhůtě do 20 pracovních dnů ode dne, kdy se jednání škodní komise uskutečnilo</w:t>
      </w:r>
      <w:r w:rsidR="00F74FCC">
        <w:rPr>
          <w:sz w:val="22"/>
        </w:rPr>
        <w:t>.</w:t>
      </w:r>
      <w:r w:rsidR="0036587B">
        <w:rPr>
          <w:sz w:val="22"/>
        </w:rPr>
        <w:t xml:space="preserve"> </w:t>
      </w:r>
      <w:r w:rsidR="00943EC7">
        <w:rPr>
          <w:sz w:val="22"/>
        </w:rPr>
        <w:t>U</w:t>
      </w:r>
      <w:r w:rsidR="00C93EA6">
        <w:rPr>
          <w:sz w:val="22"/>
        </w:rPr>
        <w:t xml:space="preserve"> škody způsobené hejtmanem kraje vydává rozhodnutí zaměstnavatele o úhradě škody způsobené zaměstnancem zástupce </w:t>
      </w:r>
      <w:r w:rsidR="00C93EA6" w:rsidRPr="009E6EAF">
        <w:rPr>
          <w:sz w:val="22"/>
        </w:rPr>
        <w:t>hejtman</w:t>
      </w:r>
      <w:r w:rsidR="00943EC7">
        <w:rPr>
          <w:sz w:val="22"/>
        </w:rPr>
        <w:t>a</w:t>
      </w:r>
      <w:r w:rsidR="00C93EA6">
        <w:rPr>
          <w:sz w:val="22"/>
        </w:rPr>
        <w:t xml:space="preserve"> na základě doporučujícího stanoviska škodní komise ve lhůtě do 20 pracovních dnů ode dne, kdy se jednání škodní komise uskutečnilo. </w:t>
      </w:r>
      <w:r w:rsidR="0036587B">
        <w:rPr>
          <w:sz w:val="22"/>
        </w:rPr>
        <w:t>Rozhodnutí zaměstnavatele o úhradě škody způsobené zaměstnancem vydané</w:t>
      </w:r>
      <w:r w:rsidR="0036587B" w:rsidRPr="0036587B">
        <w:rPr>
          <w:sz w:val="22"/>
        </w:rPr>
        <w:t xml:space="preserve"> </w:t>
      </w:r>
      <w:r w:rsidR="0036587B">
        <w:rPr>
          <w:sz w:val="22"/>
        </w:rPr>
        <w:t>ředitelkou krajského úřadu</w:t>
      </w:r>
      <w:r w:rsidR="00CA3430">
        <w:rPr>
          <w:sz w:val="22"/>
        </w:rPr>
        <w:t>,</w:t>
      </w:r>
      <w:r w:rsidR="0036587B">
        <w:rPr>
          <w:sz w:val="22"/>
        </w:rPr>
        <w:t xml:space="preserve"> </w:t>
      </w:r>
      <w:r w:rsidR="0036587B" w:rsidRPr="009E6EAF">
        <w:rPr>
          <w:sz w:val="22"/>
        </w:rPr>
        <w:t>hejtman</w:t>
      </w:r>
      <w:r w:rsidR="004A48A7" w:rsidRPr="009E6EAF">
        <w:rPr>
          <w:sz w:val="22"/>
        </w:rPr>
        <w:t>em</w:t>
      </w:r>
      <w:r w:rsidR="0036587B">
        <w:rPr>
          <w:sz w:val="22"/>
        </w:rPr>
        <w:t xml:space="preserve"> </w:t>
      </w:r>
      <w:r w:rsidR="0036587B" w:rsidRPr="00BE3C7D">
        <w:rPr>
          <w:sz w:val="22"/>
        </w:rPr>
        <w:t>kraje</w:t>
      </w:r>
      <w:r w:rsidR="00CA3430">
        <w:rPr>
          <w:sz w:val="22"/>
        </w:rPr>
        <w:t xml:space="preserve"> či jeho zástupcem</w:t>
      </w:r>
      <w:r w:rsidR="0036587B" w:rsidRPr="00BE3C7D">
        <w:rPr>
          <w:sz w:val="22"/>
        </w:rPr>
        <w:t xml:space="preserve"> bude předáno na vědomí </w:t>
      </w:r>
      <w:r w:rsidR="00C76B0A">
        <w:rPr>
          <w:sz w:val="22"/>
        </w:rPr>
        <w:t xml:space="preserve">prostřednictvím eSSL Athena </w:t>
      </w:r>
      <w:r w:rsidR="0036587B" w:rsidRPr="00BE3C7D">
        <w:rPr>
          <w:sz w:val="22"/>
        </w:rPr>
        <w:t xml:space="preserve">s veškerou dokumentací odboru finančnímu, který vede centrální evidenci </w:t>
      </w:r>
      <w:r w:rsidR="00056972" w:rsidRPr="00BE3C7D">
        <w:rPr>
          <w:sz w:val="22"/>
        </w:rPr>
        <w:t xml:space="preserve">záznamů </w:t>
      </w:r>
      <w:r w:rsidR="0036587B" w:rsidRPr="00BE3C7D">
        <w:rPr>
          <w:sz w:val="22"/>
        </w:rPr>
        <w:t>dle článku VIII. odst. 2 tohoto předpisu.</w:t>
      </w:r>
    </w:p>
    <w:p w:rsidR="00766EDA" w:rsidRPr="00BE3C7D" w:rsidRDefault="00766EDA" w:rsidP="00766EDA">
      <w:pPr>
        <w:numPr>
          <w:ilvl w:val="0"/>
          <w:numId w:val="14"/>
        </w:numPr>
        <w:spacing w:before="240"/>
        <w:ind w:left="360"/>
        <w:jc w:val="both"/>
        <w:rPr>
          <w:sz w:val="22"/>
        </w:rPr>
      </w:pPr>
      <w:r w:rsidRPr="00BE3C7D">
        <w:rPr>
          <w:sz w:val="22"/>
        </w:rPr>
        <w:t>Jakmile zaměstnanec obdrží rozhodnutí zaměstnavatele o úhradě škody způsobené zaměstnancem</w:t>
      </w:r>
      <w:r w:rsidR="0036339F" w:rsidRPr="00BE3C7D">
        <w:rPr>
          <w:sz w:val="22"/>
        </w:rPr>
        <w:t xml:space="preserve"> obsahující mimo jiné popis veškerých předpokladů vzniku odpovědnosti za škodu</w:t>
      </w:r>
      <w:r w:rsidR="0018781F" w:rsidRPr="00BE3C7D">
        <w:rPr>
          <w:rStyle w:val="Znakapoznpodarou"/>
          <w:sz w:val="22"/>
        </w:rPr>
        <w:footnoteReference w:id="17"/>
      </w:r>
      <w:r w:rsidR="0036339F" w:rsidRPr="00BE3C7D">
        <w:rPr>
          <w:sz w:val="22"/>
        </w:rPr>
        <w:t xml:space="preserve">, tj. porušení pracovních povinností zaměstnance, vznik škody, příčinnou souvislost mezi porušením pracovních povinností a vznikem škody a zavinění na straně zaměstnance (s výjimkou </w:t>
      </w:r>
      <w:r w:rsidR="0018781F" w:rsidRPr="00BE3C7D">
        <w:rPr>
          <w:sz w:val="22"/>
        </w:rPr>
        <w:t>ztráty svěřených věcí</w:t>
      </w:r>
      <w:r w:rsidR="0018781F" w:rsidRPr="00BE3C7D">
        <w:rPr>
          <w:rStyle w:val="Znakapoznpodarou"/>
          <w:sz w:val="22"/>
        </w:rPr>
        <w:footnoteReference w:id="18"/>
      </w:r>
      <w:r w:rsidR="0018781F" w:rsidRPr="00BE3C7D">
        <w:rPr>
          <w:sz w:val="22"/>
        </w:rPr>
        <w:t xml:space="preserve"> a</w:t>
      </w:r>
      <w:r w:rsidR="00B65B4F">
        <w:rPr>
          <w:sz w:val="22"/>
        </w:rPr>
        <w:t> </w:t>
      </w:r>
      <w:r w:rsidR="0018781F" w:rsidRPr="00BE3C7D">
        <w:rPr>
          <w:sz w:val="22"/>
        </w:rPr>
        <w:t>případů, kdy byla uzavřena dohoda o odpovědnosti za svěřené hodnoty</w:t>
      </w:r>
      <w:r w:rsidR="0018781F" w:rsidRPr="00BE3C7D">
        <w:rPr>
          <w:rStyle w:val="Znakapoznpodarou"/>
          <w:sz w:val="22"/>
        </w:rPr>
        <w:footnoteReference w:id="19"/>
      </w:r>
      <w:r w:rsidR="0036339F" w:rsidRPr="00BE3C7D">
        <w:rPr>
          <w:sz w:val="22"/>
        </w:rPr>
        <w:t>)</w:t>
      </w:r>
      <w:r w:rsidRPr="00BE3C7D">
        <w:rPr>
          <w:sz w:val="22"/>
        </w:rPr>
        <w:t>, škodu bez zbytečného prodlení uhradí, popř. sepíše dohodu o srážkách ze mzdy či dokument o uznání dluhu a o způsobu uhrazení škody, a to ve lhůtě nejpozději do 10 pracovních dnů. V případě, že s rozhodnutím zaměstnavatele o úhradě škody způsobené zaměstnancem zaměstnanec nesouhlasí, škodu neuhradí ani nesepíše dohodu o srážkách ze mzdy či uznání dluhu, platí postup dle</w:t>
      </w:r>
      <w:r w:rsidR="00875274">
        <w:rPr>
          <w:sz w:val="22"/>
        </w:rPr>
        <w:t xml:space="preserve"> odst. 13 a</w:t>
      </w:r>
      <w:r w:rsidR="00654B3B">
        <w:rPr>
          <w:sz w:val="22"/>
        </w:rPr>
        <w:t xml:space="preserve">ž </w:t>
      </w:r>
      <w:r w:rsidRPr="00BE3C7D">
        <w:rPr>
          <w:sz w:val="22"/>
        </w:rPr>
        <w:t>1</w:t>
      </w:r>
      <w:r w:rsidR="00654B3B">
        <w:rPr>
          <w:sz w:val="22"/>
        </w:rPr>
        <w:t>5</w:t>
      </w:r>
      <w:r w:rsidRPr="00BE3C7D">
        <w:rPr>
          <w:sz w:val="22"/>
        </w:rPr>
        <w:t xml:space="preserve"> tohoto článku. </w:t>
      </w:r>
    </w:p>
    <w:p w:rsidR="00766EDA" w:rsidRPr="00BE3C7D" w:rsidRDefault="00766EDA" w:rsidP="00766EDA">
      <w:pPr>
        <w:numPr>
          <w:ilvl w:val="0"/>
          <w:numId w:val="14"/>
        </w:numPr>
        <w:spacing w:before="240"/>
        <w:ind w:left="360"/>
        <w:jc w:val="both"/>
        <w:rPr>
          <w:sz w:val="22"/>
        </w:rPr>
      </w:pPr>
      <w:r w:rsidRPr="00BE3C7D">
        <w:rPr>
          <w:sz w:val="22"/>
        </w:rPr>
        <w:t>Odbor kancelář ředitelky úřadu zajištuje sepsání dokumentu o uznání dluhu a způsobu uhrazení škody nebo dohody o srážkách ze mzdy. Kopii dokumentu o uznání dluhu a o způsobu uhrazení škody nebo dohody o srážkách ze mzdy předá příslušný zaměstnanec odboru kancelář ředitelky úřadu finančnímu odboru, a to do tří pracovních dnů ode dne, kdy byl dokument se zaměstnancem sepsán.</w:t>
      </w:r>
    </w:p>
    <w:p w:rsidR="00005C7F" w:rsidRDefault="00766EDA" w:rsidP="00791B7B">
      <w:pPr>
        <w:numPr>
          <w:ilvl w:val="0"/>
          <w:numId w:val="14"/>
        </w:numPr>
        <w:spacing w:before="240"/>
        <w:ind w:left="360"/>
        <w:jc w:val="both"/>
        <w:rPr>
          <w:sz w:val="22"/>
        </w:rPr>
      </w:pPr>
      <w:r w:rsidRPr="00BE3C7D">
        <w:rPr>
          <w:sz w:val="22"/>
        </w:rPr>
        <w:t>Odmítne-li ve lhůtě uvedené v</w:t>
      </w:r>
      <w:r w:rsidR="00C76B0A">
        <w:rPr>
          <w:sz w:val="22"/>
        </w:rPr>
        <w:t> </w:t>
      </w:r>
      <w:r w:rsidRPr="00BE3C7D">
        <w:rPr>
          <w:sz w:val="22"/>
        </w:rPr>
        <w:t>odstavci</w:t>
      </w:r>
      <w:r w:rsidR="00C76B0A">
        <w:rPr>
          <w:sz w:val="22"/>
        </w:rPr>
        <w:t xml:space="preserve"> 12</w:t>
      </w:r>
      <w:r w:rsidRPr="00BE3C7D">
        <w:rPr>
          <w:sz w:val="22"/>
        </w:rPr>
        <w:t xml:space="preserve"> tohoto článku zaměstnanec, který obdržel rozhodnutí zaměstnavatele o úhradě škody sepsání dokumentu o uznání dluhu a o způsobu uhrazení škody nebo dohodu o srážkách ze mzdy, případně je v prodlení s placením dluhu, řeší nárok zaměstnavatele na</w:t>
      </w:r>
      <w:r w:rsidR="00B65B4F">
        <w:rPr>
          <w:sz w:val="22"/>
        </w:rPr>
        <w:t> </w:t>
      </w:r>
      <w:r w:rsidRPr="00BE3C7D">
        <w:rPr>
          <w:sz w:val="22"/>
        </w:rPr>
        <w:t xml:space="preserve">náhradu škody v souladu s příslušnými interními předpisy odbor legislativní a právní a krajský živnostenský úřad. </w:t>
      </w:r>
    </w:p>
    <w:p w:rsidR="00654B3B" w:rsidRDefault="00C93EA6" w:rsidP="000D16E5">
      <w:pPr>
        <w:numPr>
          <w:ilvl w:val="0"/>
          <w:numId w:val="14"/>
        </w:numPr>
        <w:spacing w:before="240"/>
        <w:ind w:left="360"/>
        <w:jc w:val="both"/>
        <w:rPr>
          <w:sz w:val="22"/>
        </w:rPr>
      </w:pPr>
      <w:r>
        <w:rPr>
          <w:sz w:val="22"/>
        </w:rPr>
        <w:t>Rozhodnutí zaměstnavatele o úhradě škody způsobené zaměstnancem zaměstnavateli, s jehož obsahem dotčený zaměstnanec nesouhlasí,</w:t>
      </w:r>
      <w:r w:rsidR="009935F7" w:rsidRPr="00AD7120">
        <w:rPr>
          <w:sz w:val="22"/>
        </w:rPr>
        <w:t xml:space="preserve"> může</w:t>
      </w:r>
      <w:r>
        <w:rPr>
          <w:sz w:val="22"/>
        </w:rPr>
        <w:t xml:space="preserve"> tento</w:t>
      </w:r>
      <w:r w:rsidR="009935F7" w:rsidRPr="00AD7120">
        <w:rPr>
          <w:sz w:val="22"/>
        </w:rPr>
        <w:t xml:space="preserve"> poté, co </w:t>
      </w:r>
      <w:r>
        <w:rPr>
          <w:sz w:val="22"/>
        </w:rPr>
        <w:t>jej</w:t>
      </w:r>
      <w:r w:rsidR="009935F7" w:rsidRPr="00AD7120">
        <w:rPr>
          <w:sz w:val="22"/>
        </w:rPr>
        <w:t xml:space="preserve"> obdrží postoupit </w:t>
      </w:r>
      <w:r w:rsidR="00600B2C">
        <w:rPr>
          <w:sz w:val="22"/>
        </w:rPr>
        <w:t xml:space="preserve">k dalšímu posouzení </w:t>
      </w:r>
      <w:r w:rsidR="00005C7F" w:rsidRPr="00AD7120">
        <w:rPr>
          <w:sz w:val="22"/>
        </w:rPr>
        <w:t>ředitelce krajského úřadu</w:t>
      </w:r>
      <w:r>
        <w:rPr>
          <w:sz w:val="22"/>
        </w:rPr>
        <w:t xml:space="preserve">, </w:t>
      </w:r>
      <w:r w:rsidR="00943EC7">
        <w:rPr>
          <w:sz w:val="22"/>
        </w:rPr>
        <w:t xml:space="preserve">nebo </w:t>
      </w:r>
      <w:r>
        <w:rPr>
          <w:sz w:val="22"/>
        </w:rPr>
        <w:t xml:space="preserve">hejtmanovi kraje v případě škody týkající </w:t>
      </w:r>
      <w:r w:rsidR="00A647EC">
        <w:rPr>
          <w:sz w:val="22"/>
        </w:rPr>
        <w:t xml:space="preserve">vedoucího finančního odboru, </w:t>
      </w:r>
      <w:r w:rsidR="00494AC4" w:rsidRPr="00126D1E">
        <w:rPr>
          <w:sz w:val="22"/>
        </w:rPr>
        <w:t>zástupci hejtmana v případě škody týkající se ředitelky krajského úřadu nebo členů zastupitelstva nebo zástupci hejtmana, který nevydával rozhodnutí zaměstnavatele o úhradě škody způsobené zaměstnancem, v případě škody týkající se hejtmana.</w:t>
      </w:r>
      <w:r w:rsidR="00005C7F" w:rsidRPr="00AD7120">
        <w:rPr>
          <w:sz w:val="22"/>
        </w:rPr>
        <w:t xml:space="preserve"> Ředitelka krajského úřadu</w:t>
      </w:r>
      <w:r w:rsidR="00A647EC">
        <w:rPr>
          <w:sz w:val="22"/>
        </w:rPr>
        <w:t>, hejtman kraje či zástupce hejtmana</w:t>
      </w:r>
      <w:r w:rsidR="00005C7F" w:rsidRPr="00AD7120">
        <w:rPr>
          <w:sz w:val="22"/>
        </w:rPr>
        <w:t xml:space="preserve"> si k posouzení škodního případu vyžádá veškerou dostupnou dokumentaci</w:t>
      </w:r>
      <w:r w:rsidR="00B45636">
        <w:rPr>
          <w:sz w:val="22"/>
        </w:rPr>
        <w:t>. P</w:t>
      </w:r>
      <w:r w:rsidR="00A647EC">
        <w:rPr>
          <w:sz w:val="22"/>
        </w:rPr>
        <w:t xml:space="preserve">ro posouzení nediskriminačního přístupu si dále mohou vyžádat z centrální evidence záznamů rozhodnutí v obdobných případech, </w:t>
      </w:r>
      <w:r w:rsidR="00005C7F" w:rsidRPr="00AD7120">
        <w:rPr>
          <w:sz w:val="22"/>
        </w:rPr>
        <w:t>přičemž m</w:t>
      </w:r>
      <w:r w:rsidR="00A647EC">
        <w:rPr>
          <w:sz w:val="22"/>
        </w:rPr>
        <w:t>ohou svým</w:t>
      </w:r>
      <w:r w:rsidR="00005C7F" w:rsidRPr="00AD7120">
        <w:rPr>
          <w:sz w:val="22"/>
        </w:rPr>
        <w:t xml:space="preserve"> rozhodnutím </w:t>
      </w:r>
      <w:r w:rsidR="00954272">
        <w:rPr>
          <w:sz w:val="22"/>
        </w:rPr>
        <w:t>rozhodnutí zaměstnavatele o úhradě škody způsobené zaměstnancem potvrdit, změnit nebo zrušit a současně m</w:t>
      </w:r>
      <w:r w:rsidR="00A647EC">
        <w:rPr>
          <w:sz w:val="22"/>
        </w:rPr>
        <w:t>ohou</w:t>
      </w:r>
      <w:r w:rsidR="00954272">
        <w:rPr>
          <w:sz w:val="22"/>
        </w:rPr>
        <w:t xml:space="preserve"> rozhodnout</w:t>
      </w:r>
      <w:r w:rsidR="00005C7F" w:rsidRPr="00AD7120">
        <w:rPr>
          <w:sz w:val="22"/>
        </w:rPr>
        <w:t xml:space="preserve"> o prominutí</w:t>
      </w:r>
      <w:r w:rsidR="00940A8F">
        <w:rPr>
          <w:sz w:val="22"/>
        </w:rPr>
        <w:t>, částečném prominutí či neprominutí</w:t>
      </w:r>
      <w:r w:rsidR="00005C7F" w:rsidRPr="00AD7120">
        <w:rPr>
          <w:sz w:val="22"/>
        </w:rPr>
        <w:t xml:space="preserve"> náhrady škody stanovené v rozhodnutí zaměstnavatele o úhradě škody způsobené zaměstnancem </w:t>
      </w:r>
      <w:r w:rsidR="00A647EC">
        <w:rPr>
          <w:sz w:val="22"/>
        </w:rPr>
        <w:t>(</w:t>
      </w:r>
      <w:r w:rsidR="00005C7F" w:rsidRPr="00AD7120">
        <w:rPr>
          <w:sz w:val="22"/>
        </w:rPr>
        <w:t xml:space="preserve">po zvážení veškerých relevantních okolností daného případu, </w:t>
      </w:r>
      <w:r w:rsidR="00CA287C" w:rsidRPr="00AD7120">
        <w:rPr>
          <w:sz w:val="22"/>
        </w:rPr>
        <w:t>jako je např. řešení aktuální krizové situace, mimořádné pracovní vytížení zaměstnance či jiné zvlášť závažné skutečnosti</w:t>
      </w:r>
      <w:r w:rsidR="00A647EC">
        <w:rPr>
          <w:sz w:val="22"/>
        </w:rPr>
        <w:t>)</w:t>
      </w:r>
      <w:r w:rsidR="00005C7F" w:rsidRPr="00AD7120">
        <w:rPr>
          <w:sz w:val="22"/>
        </w:rPr>
        <w:t xml:space="preserve">. Povinnost zaměstnance nahradit škodu ve lhůtě stanovené rozhodnutím zaměstnavatele o úhradě škody tímto nezaniká. </w:t>
      </w:r>
    </w:p>
    <w:p w:rsidR="00221C03" w:rsidRPr="00AD7120" w:rsidRDefault="00005C7F" w:rsidP="000D16E5">
      <w:pPr>
        <w:numPr>
          <w:ilvl w:val="0"/>
          <w:numId w:val="14"/>
        </w:numPr>
        <w:spacing w:before="240"/>
        <w:ind w:left="360"/>
        <w:jc w:val="both"/>
        <w:rPr>
          <w:sz w:val="22"/>
        </w:rPr>
      </w:pPr>
      <w:r w:rsidRPr="00AD7120">
        <w:rPr>
          <w:sz w:val="22"/>
        </w:rPr>
        <w:t>V případě, že</w:t>
      </w:r>
      <w:r w:rsidR="00B65B4F" w:rsidRPr="00AD7120">
        <w:rPr>
          <w:sz w:val="22"/>
        </w:rPr>
        <w:t> </w:t>
      </w:r>
      <w:r w:rsidRPr="00AD7120">
        <w:rPr>
          <w:sz w:val="22"/>
        </w:rPr>
        <w:t>ředitelka krajského úřadu</w:t>
      </w:r>
      <w:r w:rsidR="00887ADF">
        <w:rPr>
          <w:sz w:val="22"/>
        </w:rPr>
        <w:t>, hejtman kraje či zástupce hejtmana</w:t>
      </w:r>
      <w:r w:rsidR="00940A8F" w:rsidRPr="00AD7120">
        <w:rPr>
          <w:sz w:val="22"/>
        </w:rPr>
        <w:t xml:space="preserve"> </w:t>
      </w:r>
      <w:r w:rsidRPr="00AD7120">
        <w:rPr>
          <w:sz w:val="22"/>
        </w:rPr>
        <w:t>rozhodn</w:t>
      </w:r>
      <w:r w:rsidR="00887ADF">
        <w:rPr>
          <w:sz w:val="22"/>
        </w:rPr>
        <w:t>ou</w:t>
      </w:r>
      <w:r w:rsidRPr="00AD7120">
        <w:rPr>
          <w:sz w:val="22"/>
        </w:rPr>
        <w:t xml:space="preserve"> o</w:t>
      </w:r>
      <w:r w:rsidR="00940A8F">
        <w:rPr>
          <w:sz w:val="22"/>
        </w:rPr>
        <w:t xml:space="preserve"> změně či zrušení rozhodnutí zaměstnavatele o úhradě škody způsobené zaměstnancem, případně o</w:t>
      </w:r>
      <w:r w:rsidRPr="00AD7120">
        <w:rPr>
          <w:sz w:val="22"/>
        </w:rPr>
        <w:t xml:space="preserve"> prominutí náhrady škody či její části, bude část škody uhrazená zaměstnancem zaměstnavateli, která se stala předmětem </w:t>
      </w:r>
      <w:r w:rsidR="00940A8F">
        <w:rPr>
          <w:sz w:val="22"/>
        </w:rPr>
        <w:t xml:space="preserve">změny, zrušení či </w:t>
      </w:r>
      <w:r w:rsidRPr="00AD7120">
        <w:rPr>
          <w:sz w:val="22"/>
        </w:rPr>
        <w:t>prominutí vrácena zaměstnavatelem dotčenému zaměstnanci na jím stanovený účet ve lhůtě do 5 pracovních dnů ode dne, kdy o této skutečnosti bude informován finanční odbor odborem kancelář ředitelky úřadu</w:t>
      </w:r>
      <w:r w:rsidR="00940A8F">
        <w:rPr>
          <w:sz w:val="22"/>
        </w:rPr>
        <w:t xml:space="preserve"> </w:t>
      </w:r>
      <w:r w:rsidR="00887ADF">
        <w:rPr>
          <w:sz w:val="22"/>
        </w:rPr>
        <w:t>nebo odborem kancelář hejtmana a vnějších vztah</w:t>
      </w:r>
      <w:r w:rsidR="00943EC7">
        <w:rPr>
          <w:sz w:val="22"/>
        </w:rPr>
        <w:t>ů</w:t>
      </w:r>
      <w:r w:rsidRPr="00AD7120">
        <w:rPr>
          <w:sz w:val="22"/>
        </w:rPr>
        <w:t xml:space="preserve">. </w:t>
      </w:r>
      <w:r w:rsidR="003F3169" w:rsidRPr="00AD7120">
        <w:rPr>
          <w:sz w:val="22"/>
        </w:rPr>
        <w:t>Odbor kancelář ředitelky úřadu</w:t>
      </w:r>
      <w:r w:rsidR="00887ADF">
        <w:rPr>
          <w:sz w:val="22"/>
        </w:rPr>
        <w:t xml:space="preserve"> či odbor kancelář hejtmana a vnějších vztahů </w:t>
      </w:r>
      <w:r w:rsidR="003F3169" w:rsidRPr="00AD7120">
        <w:rPr>
          <w:sz w:val="22"/>
        </w:rPr>
        <w:t xml:space="preserve">jsou povinni o výsledku posouzení škodního případu, tj. </w:t>
      </w:r>
      <w:r w:rsidR="00940A8F">
        <w:rPr>
          <w:sz w:val="22"/>
        </w:rPr>
        <w:t xml:space="preserve">potvrzení, změně či zrušení rozhodnutí zaměstnavatele o úhradě škody způsobené zaměstnancem, popřípadě o </w:t>
      </w:r>
      <w:r w:rsidR="003F3169" w:rsidRPr="00AD7120">
        <w:rPr>
          <w:sz w:val="22"/>
        </w:rPr>
        <w:t>prominutí</w:t>
      </w:r>
      <w:r w:rsidR="007157D8">
        <w:rPr>
          <w:sz w:val="22"/>
        </w:rPr>
        <w:t>, částečném prominutí</w:t>
      </w:r>
      <w:r w:rsidR="003F3169" w:rsidRPr="00AD7120">
        <w:rPr>
          <w:sz w:val="22"/>
        </w:rPr>
        <w:t xml:space="preserve"> či neprominutí stanovené náhrady škody vždy </w:t>
      </w:r>
      <w:r w:rsidR="0076463F" w:rsidRPr="00BE3C7D">
        <w:rPr>
          <w:sz w:val="22"/>
        </w:rPr>
        <w:t>prostřednictvím</w:t>
      </w:r>
      <w:r w:rsidR="0076463F">
        <w:rPr>
          <w:sz w:val="22"/>
        </w:rPr>
        <w:t xml:space="preserve"> eSSL Athena</w:t>
      </w:r>
      <w:r w:rsidR="0076463F" w:rsidRPr="00AD7120">
        <w:rPr>
          <w:sz w:val="22"/>
        </w:rPr>
        <w:t xml:space="preserve"> </w:t>
      </w:r>
      <w:r w:rsidR="003F3169" w:rsidRPr="00AD7120">
        <w:rPr>
          <w:sz w:val="22"/>
        </w:rPr>
        <w:t>informovat finanční odbor</w:t>
      </w:r>
      <w:r w:rsidR="00720B89" w:rsidRPr="00AD7120">
        <w:rPr>
          <w:sz w:val="22"/>
        </w:rPr>
        <w:t>, který vede centrální evidenci záznamů, a to do 5 pracovních dnů ode dne vydání rozhodnutí o</w:t>
      </w:r>
      <w:r w:rsidR="00940A8F">
        <w:rPr>
          <w:sz w:val="22"/>
        </w:rPr>
        <w:t xml:space="preserve"> potvrzení, změně či zrušení rozhodnutí zaměstnavatele o úhradě škody způsobené zaměstnancem, popř.</w:t>
      </w:r>
      <w:r w:rsidR="00720B89" w:rsidRPr="00AD7120">
        <w:rPr>
          <w:sz w:val="22"/>
        </w:rPr>
        <w:t xml:space="preserve"> prominutí či neprominutí náhrady škody nebo její části.</w:t>
      </w:r>
      <w:r w:rsidR="008E3A98" w:rsidRPr="00AD7120">
        <w:rPr>
          <w:sz w:val="22"/>
        </w:rPr>
        <w:t xml:space="preserve"> </w:t>
      </w:r>
      <w:r w:rsidR="00221C03" w:rsidRPr="00AD7120">
        <w:rPr>
          <w:sz w:val="22"/>
        </w:rPr>
        <w:t xml:space="preserve">Do vydání rozhodnutí o </w:t>
      </w:r>
      <w:r w:rsidR="00940A8F">
        <w:rPr>
          <w:sz w:val="22"/>
        </w:rPr>
        <w:t xml:space="preserve">potvrzení, změně či zrušení rozhodnutí zaměstnavatele o úhradě škody způsobené zaměstnancem, popř. </w:t>
      </w:r>
      <w:r w:rsidR="00221C03" w:rsidRPr="00AD7120">
        <w:rPr>
          <w:sz w:val="22"/>
        </w:rPr>
        <w:t>prominutí</w:t>
      </w:r>
      <w:r w:rsidR="00534D48">
        <w:rPr>
          <w:sz w:val="22"/>
        </w:rPr>
        <w:t>, částečném prominutí</w:t>
      </w:r>
      <w:r w:rsidR="00221C03" w:rsidRPr="00AD7120">
        <w:rPr>
          <w:sz w:val="22"/>
        </w:rPr>
        <w:t xml:space="preserve"> či neprominutí stanovené náhrady škody</w:t>
      </w:r>
      <w:r w:rsidR="00940A8F">
        <w:rPr>
          <w:sz w:val="22"/>
        </w:rPr>
        <w:t>,</w:t>
      </w:r>
      <w:r w:rsidR="00221C03" w:rsidRPr="00AD7120">
        <w:rPr>
          <w:sz w:val="22"/>
        </w:rPr>
        <w:t xml:space="preserve"> nevymáhá odbor legislativní a právní </w:t>
      </w:r>
      <w:r w:rsidR="00940A8F">
        <w:rPr>
          <w:sz w:val="22"/>
        </w:rPr>
        <w:t xml:space="preserve">a krajský živnostenský úřad </w:t>
      </w:r>
      <w:r w:rsidR="00221C03" w:rsidRPr="00AD7120">
        <w:rPr>
          <w:sz w:val="22"/>
        </w:rPr>
        <w:t xml:space="preserve">nárok zaměstnavatele na náhradu škody způsobené zaměstnancem dle odstavce </w:t>
      </w:r>
      <w:r w:rsidR="00887ADF">
        <w:rPr>
          <w:sz w:val="22"/>
        </w:rPr>
        <w:t xml:space="preserve">13 </w:t>
      </w:r>
      <w:r w:rsidR="00221C03" w:rsidRPr="00AD7120">
        <w:rPr>
          <w:sz w:val="22"/>
        </w:rPr>
        <w:t>tohoto článku.</w:t>
      </w:r>
    </w:p>
    <w:p w:rsidR="00766EDA" w:rsidRDefault="00766EDA" w:rsidP="00766EDA">
      <w:pPr>
        <w:numPr>
          <w:ilvl w:val="0"/>
          <w:numId w:val="14"/>
        </w:numPr>
        <w:spacing w:before="240"/>
        <w:ind w:left="360"/>
        <w:jc w:val="both"/>
        <w:rPr>
          <w:sz w:val="22"/>
        </w:rPr>
      </w:pPr>
      <w:r>
        <w:rPr>
          <w:sz w:val="22"/>
        </w:rPr>
        <w:t>O rozhodování škodní komise informuje Radu Karlovarského kraje odbor finanční přehledem sumarizujícím řešené škodní případy za uplynulý kalendářní rok vždy v průběhu prvního kalendářní čtvrtletí následujícího kalendářního roku, a to jak o rozhodování u škodních případů kraje, tak</w:t>
      </w:r>
      <w:r w:rsidR="00B65B4F">
        <w:rPr>
          <w:sz w:val="22"/>
        </w:rPr>
        <w:t> </w:t>
      </w:r>
      <w:r>
        <w:rPr>
          <w:sz w:val="22"/>
        </w:rPr>
        <w:t>příspěvkových organizací, které mu takový přehled poskytnou nejdéle do 31. 1. za uplynulý kalendářní rok, a to v souladu s jejich předpisem pro řešení případů odpovědnosti za škodu.</w:t>
      </w:r>
    </w:p>
    <w:p w:rsidR="00F07962" w:rsidRDefault="00F07962" w:rsidP="00F07962">
      <w:pPr>
        <w:jc w:val="center"/>
        <w:outlineLvl w:val="2"/>
        <w:rPr>
          <w:b/>
          <w:sz w:val="22"/>
          <w:szCs w:val="22"/>
        </w:rPr>
      </w:pPr>
      <w:bookmarkStart w:id="73" w:name="_Toc462655777"/>
    </w:p>
    <w:p w:rsidR="009E61DD" w:rsidRDefault="009E61DD" w:rsidP="00F07962">
      <w:pPr>
        <w:jc w:val="center"/>
        <w:outlineLvl w:val="2"/>
        <w:rPr>
          <w:b/>
          <w:sz w:val="22"/>
          <w:szCs w:val="22"/>
        </w:rPr>
      </w:pPr>
    </w:p>
    <w:p w:rsidR="00F07962" w:rsidRPr="00275153" w:rsidRDefault="00F07962" w:rsidP="00F07962">
      <w:pPr>
        <w:jc w:val="center"/>
        <w:outlineLvl w:val="2"/>
        <w:rPr>
          <w:b/>
          <w:sz w:val="22"/>
          <w:szCs w:val="22"/>
        </w:rPr>
      </w:pPr>
      <w:bookmarkStart w:id="74" w:name="_Toc89843564"/>
      <w:r w:rsidRPr="00275153">
        <w:rPr>
          <w:b/>
          <w:sz w:val="22"/>
          <w:szCs w:val="22"/>
        </w:rPr>
        <w:t xml:space="preserve">Čl. X. </w:t>
      </w:r>
      <w:r w:rsidR="003E7DDB">
        <w:rPr>
          <w:b/>
          <w:sz w:val="22"/>
          <w:szCs w:val="22"/>
        </w:rPr>
        <w:t>Postup při a</w:t>
      </w:r>
      <w:r w:rsidRPr="00275153">
        <w:rPr>
          <w:b/>
          <w:sz w:val="22"/>
          <w:szCs w:val="22"/>
        </w:rPr>
        <w:t>dministrac</w:t>
      </w:r>
      <w:r w:rsidR="003E7DDB">
        <w:rPr>
          <w:b/>
          <w:sz w:val="22"/>
          <w:szCs w:val="22"/>
        </w:rPr>
        <w:t>i škod</w:t>
      </w:r>
      <w:r w:rsidRPr="00275153">
        <w:rPr>
          <w:b/>
          <w:sz w:val="22"/>
          <w:szCs w:val="22"/>
        </w:rPr>
        <w:t xml:space="preserve"> </w:t>
      </w:r>
      <w:r>
        <w:rPr>
          <w:b/>
          <w:sz w:val="22"/>
          <w:szCs w:val="22"/>
        </w:rPr>
        <w:t>dle občanského zákoníku</w:t>
      </w:r>
      <w:bookmarkEnd w:id="74"/>
    </w:p>
    <w:p w:rsidR="009B702E" w:rsidRDefault="00F07962" w:rsidP="000C4577">
      <w:pPr>
        <w:numPr>
          <w:ilvl w:val="0"/>
          <w:numId w:val="17"/>
        </w:numPr>
        <w:spacing w:before="240"/>
        <w:ind w:left="360"/>
        <w:jc w:val="both"/>
        <w:rPr>
          <w:sz w:val="22"/>
          <w:szCs w:val="22"/>
        </w:rPr>
      </w:pPr>
      <w:r>
        <w:rPr>
          <w:sz w:val="22"/>
          <w:szCs w:val="22"/>
        </w:rPr>
        <w:t>Vznikne-li Karlovarskému kraji škoda</w:t>
      </w:r>
      <w:r w:rsidR="00091840">
        <w:rPr>
          <w:sz w:val="22"/>
          <w:szCs w:val="22"/>
        </w:rPr>
        <w:t xml:space="preserve"> nikoli způsobená zaměstnancem</w:t>
      </w:r>
      <w:r>
        <w:rPr>
          <w:sz w:val="22"/>
          <w:szCs w:val="22"/>
        </w:rPr>
        <w:t xml:space="preserve"> nebo existuje</w:t>
      </w:r>
      <w:r w:rsidR="00091840">
        <w:rPr>
          <w:sz w:val="22"/>
          <w:szCs w:val="22"/>
        </w:rPr>
        <w:t>-li</w:t>
      </w:r>
      <w:r>
        <w:rPr>
          <w:sz w:val="22"/>
          <w:szCs w:val="22"/>
        </w:rPr>
        <w:t xml:space="preserve"> důvodná dom</w:t>
      </w:r>
      <w:r w:rsidR="009B702E">
        <w:rPr>
          <w:sz w:val="22"/>
          <w:szCs w:val="22"/>
        </w:rPr>
        <w:t>n</w:t>
      </w:r>
      <w:r>
        <w:rPr>
          <w:sz w:val="22"/>
          <w:szCs w:val="22"/>
        </w:rPr>
        <w:t>ě</w:t>
      </w:r>
      <w:r w:rsidR="009B702E">
        <w:rPr>
          <w:sz w:val="22"/>
          <w:szCs w:val="22"/>
        </w:rPr>
        <w:t>n</w:t>
      </w:r>
      <w:r>
        <w:rPr>
          <w:sz w:val="22"/>
          <w:szCs w:val="22"/>
        </w:rPr>
        <w:t xml:space="preserve">ka, že škoda Karlovarskému kraji vzniknout mohla, </w:t>
      </w:r>
      <w:r w:rsidR="009B702E">
        <w:rPr>
          <w:sz w:val="22"/>
          <w:szCs w:val="22"/>
        </w:rPr>
        <w:t xml:space="preserve">je prostřednictvím eSSL Athena předána </w:t>
      </w:r>
      <w:r w:rsidR="00BC4821">
        <w:rPr>
          <w:sz w:val="22"/>
          <w:szCs w:val="22"/>
        </w:rPr>
        <w:t xml:space="preserve">formou interního sdělení </w:t>
      </w:r>
      <w:r w:rsidR="009B702E">
        <w:rPr>
          <w:sz w:val="22"/>
          <w:szCs w:val="22"/>
        </w:rPr>
        <w:t>informace</w:t>
      </w:r>
      <w:r w:rsidR="00091840">
        <w:rPr>
          <w:sz w:val="22"/>
          <w:szCs w:val="22"/>
        </w:rPr>
        <w:t xml:space="preserve"> o vzniku škody</w:t>
      </w:r>
      <w:r w:rsidR="009B702E">
        <w:rPr>
          <w:sz w:val="22"/>
          <w:szCs w:val="22"/>
        </w:rPr>
        <w:t xml:space="preserve"> </w:t>
      </w:r>
      <w:r w:rsidR="00091840">
        <w:rPr>
          <w:sz w:val="22"/>
          <w:szCs w:val="22"/>
        </w:rPr>
        <w:t xml:space="preserve">či důvodné domněnce o jejím vzniku </w:t>
      </w:r>
      <w:r w:rsidR="009B702E">
        <w:rPr>
          <w:sz w:val="22"/>
          <w:szCs w:val="22"/>
        </w:rPr>
        <w:t>včetně kompletní spisové dokumentace odboru legislativnímu a právnímu a krajský živnostenský úřad</w:t>
      </w:r>
      <w:r w:rsidR="00091840">
        <w:rPr>
          <w:sz w:val="22"/>
          <w:szCs w:val="22"/>
        </w:rPr>
        <w:t xml:space="preserve">, </w:t>
      </w:r>
      <w:r>
        <w:rPr>
          <w:sz w:val="22"/>
          <w:szCs w:val="22"/>
        </w:rPr>
        <w:t>věcně příslušný</w:t>
      </w:r>
      <w:r w:rsidR="009B702E">
        <w:rPr>
          <w:sz w:val="22"/>
          <w:szCs w:val="22"/>
        </w:rPr>
        <w:t>m</w:t>
      </w:r>
      <w:r>
        <w:rPr>
          <w:sz w:val="22"/>
          <w:szCs w:val="22"/>
        </w:rPr>
        <w:t xml:space="preserve"> vedoucí</w:t>
      </w:r>
      <w:r w:rsidR="009B702E">
        <w:rPr>
          <w:sz w:val="22"/>
          <w:szCs w:val="22"/>
        </w:rPr>
        <w:t>m</w:t>
      </w:r>
      <w:r>
        <w:rPr>
          <w:sz w:val="22"/>
          <w:szCs w:val="22"/>
        </w:rPr>
        <w:t xml:space="preserve"> odboru, ředitelk</w:t>
      </w:r>
      <w:r w:rsidR="009B702E">
        <w:rPr>
          <w:sz w:val="22"/>
          <w:szCs w:val="22"/>
        </w:rPr>
        <w:t>ou</w:t>
      </w:r>
      <w:r>
        <w:rPr>
          <w:sz w:val="22"/>
          <w:szCs w:val="22"/>
        </w:rPr>
        <w:t xml:space="preserve"> krajského úřadu</w:t>
      </w:r>
      <w:r w:rsidR="009B702E">
        <w:rPr>
          <w:sz w:val="22"/>
          <w:szCs w:val="22"/>
        </w:rPr>
        <w:t>,</w:t>
      </w:r>
      <w:r>
        <w:rPr>
          <w:sz w:val="22"/>
          <w:szCs w:val="22"/>
        </w:rPr>
        <w:t xml:space="preserve"> vedoucí</w:t>
      </w:r>
      <w:r w:rsidR="009B702E">
        <w:rPr>
          <w:sz w:val="22"/>
          <w:szCs w:val="22"/>
        </w:rPr>
        <w:t>m</w:t>
      </w:r>
      <w:r>
        <w:rPr>
          <w:sz w:val="22"/>
          <w:szCs w:val="22"/>
        </w:rPr>
        <w:t xml:space="preserve"> projektu</w:t>
      </w:r>
      <w:r w:rsidR="009B702E">
        <w:rPr>
          <w:sz w:val="22"/>
          <w:szCs w:val="22"/>
        </w:rPr>
        <w:t xml:space="preserve"> nebo jimi pověřenou</w:t>
      </w:r>
      <w:r w:rsidR="00091840">
        <w:rPr>
          <w:sz w:val="22"/>
          <w:szCs w:val="22"/>
        </w:rPr>
        <w:t xml:space="preserve"> osobou, a to</w:t>
      </w:r>
      <w:r>
        <w:rPr>
          <w:sz w:val="22"/>
          <w:szCs w:val="22"/>
        </w:rPr>
        <w:t xml:space="preserve"> nejpozději</w:t>
      </w:r>
      <w:r w:rsidR="009B702E">
        <w:rPr>
          <w:sz w:val="22"/>
          <w:szCs w:val="22"/>
        </w:rPr>
        <w:t xml:space="preserve"> ve lhůtě 20 pracovních dnů od</w:t>
      </w:r>
      <w:r w:rsidR="004F4527">
        <w:rPr>
          <w:sz w:val="22"/>
          <w:szCs w:val="22"/>
        </w:rPr>
        <w:t>e dne</w:t>
      </w:r>
      <w:r w:rsidR="009B702E">
        <w:rPr>
          <w:sz w:val="22"/>
          <w:szCs w:val="22"/>
        </w:rPr>
        <w:t>, kdy se některá z výše jmenovaných osob o vzniku škody dozvěděla</w:t>
      </w:r>
      <w:r w:rsidRPr="00FB3879">
        <w:rPr>
          <w:sz w:val="22"/>
          <w:szCs w:val="22"/>
        </w:rPr>
        <w:t>.</w:t>
      </w:r>
      <w:r w:rsidR="00091840">
        <w:rPr>
          <w:rStyle w:val="Znakapoznpodarou"/>
          <w:sz w:val="22"/>
          <w:szCs w:val="22"/>
        </w:rPr>
        <w:footnoteReference w:id="20"/>
      </w:r>
      <w:r w:rsidRPr="00FB3879">
        <w:rPr>
          <w:sz w:val="22"/>
          <w:szCs w:val="22"/>
        </w:rPr>
        <w:t xml:space="preserve"> </w:t>
      </w:r>
    </w:p>
    <w:p w:rsidR="00F07962" w:rsidRDefault="009B702E" w:rsidP="000C4577">
      <w:pPr>
        <w:numPr>
          <w:ilvl w:val="0"/>
          <w:numId w:val="17"/>
        </w:numPr>
        <w:spacing w:before="240"/>
        <w:ind w:left="360"/>
        <w:jc w:val="both"/>
        <w:rPr>
          <w:sz w:val="22"/>
          <w:szCs w:val="22"/>
        </w:rPr>
      </w:pPr>
      <w:r>
        <w:rPr>
          <w:sz w:val="22"/>
          <w:szCs w:val="22"/>
        </w:rPr>
        <w:t xml:space="preserve">Odbor legislativní a právní a krajský živnostenský úřad provede právní </w:t>
      </w:r>
      <w:r w:rsidR="00091840">
        <w:rPr>
          <w:sz w:val="22"/>
          <w:szCs w:val="22"/>
        </w:rPr>
        <w:t>analýzu</w:t>
      </w:r>
      <w:r>
        <w:rPr>
          <w:sz w:val="22"/>
          <w:szCs w:val="22"/>
        </w:rPr>
        <w:t xml:space="preserve"> předané dokumentace</w:t>
      </w:r>
      <w:r w:rsidR="00091840">
        <w:rPr>
          <w:sz w:val="22"/>
          <w:szCs w:val="22"/>
        </w:rPr>
        <w:t>, jejímž předmětem je naplnění zákonných předpokladů odpovědnosti za škodu.</w:t>
      </w:r>
    </w:p>
    <w:p w:rsidR="00091840" w:rsidRPr="00FB3879" w:rsidRDefault="00091840" w:rsidP="000C4577">
      <w:pPr>
        <w:numPr>
          <w:ilvl w:val="0"/>
          <w:numId w:val="17"/>
        </w:numPr>
        <w:spacing w:before="240"/>
        <w:ind w:left="360"/>
        <w:jc w:val="both"/>
        <w:rPr>
          <w:sz w:val="22"/>
          <w:szCs w:val="22"/>
        </w:rPr>
      </w:pPr>
      <w:r>
        <w:rPr>
          <w:sz w:val="22"/>
          <w:szCs w:val="22"/>
        </w:rPr>
        <w:t xml:space="preserve">V případě, že odbor legislativní a právní </w:t>
      </w:r>
      <w:r w:rsidR="00BC4821">
        <w:rPr>
          <w:sz w:val="22"/>
          <w:szCs w:val="22"/>
        </w:rPr>
        <w:t xml:space="preserve">a krajský živnostenský úřad </w:t>
      </w:r>
      <w:r>
        <w:rPr>
          <w:sz w:val="22"/>
          <w:szCs w:val="22"/>
        </w:rPr>
        <w:t>shledá, že nebyly naplněny všechny zákonné předpoklady odpovědnosti za škodu, předá</w:t>
      </w:r>
      <w:r w:rsidR="00E56BF0">
        <w:rPr>
          <w:sz w:val="22"/>
          <w:szCs w:val="22"/>
        </w:rPr>
        <w:t xml:space="preserve"> do 5 pracovních dnů od ukončení zpracování právní analýzy</w:t>
      </w:r>
      <w:r>
        <w:rPr>
          <w:sz w:val="22"/>
          <w:szCs w:val="22"/>
        </w:rPr>
        <w:t xml:space="preserve"> prostřednictvím eSSL Athena spisovou dokumentaci </w:t>
      </w:r>
      <w:r w:rsidR="00BC4821">
        <w:rPr>
          <w:sz w:val="22"/>
          <w:szCs w:val="22"/>
        </w:rPr>
        <w:t xml:space="preserve">zpět </w:t>
      </w:r>
      <w:r>
        <w:rPr>
          <w:sz w:val="22"/>
          <w:szCs w:val="22"/>
        </w:rPr>
        <w:t xml:space="preserve">osobě, od níž mu </w:t>
      </w:r>
      <w:r w:rsidR="00D27DA3">
        <w:rPr>
          <w:sz w:val="22"/>
          <w:szCs w:val="22"/>
        </w:rPr>
        <w:t xml:space="preserve">tato </w:t>
      </w:r>
      <w:r>
        <w:rPr>
          <w:sz w:val="22"/>
          <w:szCs w:val="22"/>
        </w:rPr>
        <w:t xml:space="preserve">byla poskytnuta a současně </w:t>
      </w:r>
      <w:r w:rsidR="00E56BF0">
        <w:rPr>
          <w:sz w:val="22"/>
          <w:szCs w:val="22"/>
        </w:rPr>
        <w:t xml:space="preserve">v téže lhůtě </w:t>
      </w:r>
      <w:r>
        <w:rPr>
          <w:sz w:val="22"/>
          <w:szCs w:val="22"/>
        </w:rPr>
        <w:t>předá</w:t>
      </w:r>
      <w:r w:rsidR="00BC4821">
        <w:rPr>
          <w:sz w:val="22"/>
          <w:szCs w:val="22"/>
        </w:rPr>
        <w:t xml:space="preserve"> rovněž</w:t>
      </w:r>
      <w:r>
        <w:rPr>
          <w:sz w:val="22"/>
          <w:szCs w:val="22"/>
        </w:rPr>
        <w:t xml:space="preserve"> </w:t>
      </w:r>
      <w:r w:rsidR="00BC4821">
        <w:rPr>
          <w:sz w:val="22"/>
          <w:szCs w:val="22"/>
        </w:rPr>
        <w:t xml:space="preserve">prostřednictvím eSSL Athena </w:t>
      </w:r>
      <w:r>
        <w:rPr>
          <w:sz w:val="22"/>
          <w:szCs w:val="22"/>
        </w:rPr>
        <w:t xml:space="preserve">výsledek jeho právního posouzení </w:t>
      </w:r>
      <w:r w:rsidR="00BC4821">
        <w:rPr>
          <w:sz w:val="22"/>
          <w:szCs w:val="22"/>
        </w:rPr>
        <w:t xml:space="preserve">včetně spisové dokumentace </w:t>
      </w:r>
      <w:r>
        <w:rPr>
          <w:sz w:val="22"/>
          <w:szCs w:val="22"/>
        </w:rPr>
        <w:t xml:space="preserve">finančnímu </w:t>
      </w:r>
      <w:r w:rsidR="0084231E">
        <w:rPr>
          <w:sz w:val="22"/>
          <w:szCs w:val="22"/>
        </w:rPr>
        <w:t xml:space="preserve">odboru </w:t>
      </w:r>
      <w:r>
        <w:rPr>
          <w:sz w:val="22"/>
          <w:szCs w:val="22"/>
        </w:rPr>
        <w:t>k evidenci.</w:t>
      </w:r>
    </w:p>
    <w:p w:rsidR="00F07962" w:rsidRPr="00C93EA6" w:rsidRDefault="00091840" w:rsidP="000C4577">
      <w:pPr>
        <w:numPr>
          <w:ilvl w:val="0"/>
          <w:numId w:val="17"/>
        </w:numPr>
        <w:spacing w:before="240"/>
        <w:ind w:left="360"/>
        <w:jc w:val="both"/>
        <w:rPr>
          <w:sz w:val="22"/>
          <w:szCs w:val="22"/>
        </w:rPr>
      </w:pPr>
      <w:r w:rsidRPr="00C93EA6">
        <w:rPr>
          <w:sz w:val="22"/>
          <w:szCs w:val="22"/>
        </w:rPr>
        <w:t xml:space="preserve">Pokud odbor legislativní a právní </w:t>
      </w:r>
      <w:r w:rsidR="00BC4821">
        <w:rPr>
          <w:sz w:val="22"/>
          <w:szCs w:val="22"/>
        </w:rPr>
        <w:t xml:space="preserve">a krajský živnostenský úřad </w:t>
      </w:r>
      <w:r w:rsidRPr="00C93EA6">
        <w:rPr>
          <w:sz w:val="22"/>
          <w:szCs w:val="22"/>
        </w:rPr>
        <w:t>dospěje k závěru, že byly naplněny zákonné předpoklady odpovědnosti za škodu</w:t>
      </w:r>
      <w:r w:rsidR="00BC4821">
        <w:rPr>
          <w:sz w:val="22"/>
          <w:szCs w:val="22"/>
        </w:rPr>
        <w:t xml:space="preserve">, zpracuje nejprve výzvu k dobrovolnému plnění. V případě, že na tuto není dobrovolně reflektováno, činí </w:t>
      </w:r>
      <w:r w:rsidR="00BC4821" w:rsidRPr="00FC3505">
        <w:rPr>
          <w:sz w:val="22"/>
          <w:szCs w:val="22"/>
        </w:rPr>
        <w:t xml:space="preserve">odbor legislativní a právní </w:t>
      </w:r>
      <w:r w:rsidR="00BC4821">
        <w:rPr>
          <w:sz w:val="22"/>
          <w:szCs w:val="22"/>
        </w:rPr>
        <w:t>a krajský živnostenský úřad další kroky k vymáhání náhrady škody v souladu s platnou právní úpravou.</w:t>
      </w:r>
    </w:p>
    <w:p w:rsidR="00BC4821" w:rsidRDefault="00BC4821" w:rsidP="00BC4821">
      <w:pPr>
        <w:numPr>
          <w:ilvl w:val="0"/>
          <w:numId w:val="17"/>
        </w:numPr>
        <w:spacing w:before="240"/>
        <w:ind w:left="360"/>
        <w:jc w:val="both"/>
        <w:rPr>
          <w:sz w:val="22"/>
          <w:szCs w:val="22"/>
        </w:rPr>
      </w:pPr>
      <w:r>
        <w:rPr>
          <w:sz w:val="22"/>
          <w:szCs w:val="22"/>
        </w:rPr>
        <w:t xml:space="preserve">Poté, co odbor </w:t>
      </w:r>
      <w:r w:rsidRPr="00FC3505">
        <w:rPr>
          <w:sz w:val="22"/>
          <w:szCs w:val="22"/>
        </w:rPr>
        <w:t xml:space="preserve">legislativní a právní </w:t>
      </w:r>
      <w:r>
        <w:rPr>
          <w:sz w:val="22"/>
          <w:szCs w:val="22"/>
        </w:rPr>
        <w:t xml:space="preserve">a krajský živnostenský úřad ukončí řešení náhrady vzniklé škody, předá </w:t>
      </w:r>
      <w:r w:rsidR="00E56BF0">
        <w:rPr>
          <w:sz w:val="22"/>
          <w:szCs w:val="22"/>
        </w:rPr>
        <w:t xml:space="preserve">do 5 pracovních dnů od ukončení řešení náhrady vzniklé škody </w:t>
      </w:r>
      <w:r>
        <w:rPr>
          <w:sz w:val="22"/>
          <w:szCs w:val="22"/>
        </w:rPr>
        <w:t xml:space="preserve">prostřednictvím eSSL Athena zpět spisovou dokumentaci osobě, od níž mu </w:t>
      </w:r>
      <w:r w:rsidR="0084231E">
        <w:rPr>
          <w:sz w:val="22"/>
          <w:szCs w:val="22"/>
        </w:rPr>
        <w:t xml:space="preserve">tato </w:t>
      </w:r>
      <w:r>
        <w:rPr>
          <w:sz w:val="22"/>
          <w:szCs w:val="22"/>
        </w:rPr>
        <w:t xml:space="preserve">byla poskytnuta a současně </w:t>
      </w:r>
      <w:r w:rsidR="00E56BF0">
        <w:rPr>
          <w:sz w:val="22"/>
          <w:szCs w:val="22"/>
        </w:rPr>
        <w:t xml:space="preserve">v téže lhůtě </w:t>
      </w:r>
      <w:r>
        <w:rPr>
          <w:sz w:val="22"/>
          <w:szCs w:val="22"/>
        </w:rPr>
        <w:t xml:space="preserve">předá prostřednictvím eSSL Athena spisovou dokumentaci včetně výsledku řešení náhrady škody finančnímu </w:t>
      </w:r>
      <w:r w:rsidR="0084231E">
        <w:rPr>
          <w:sz w:val="22"/>
          <w:szCs w:val="22"/>
        </w:rPr>
        <w:t xml:space="preserve">odboru </w:t>
      </w:r>
      <w:r>
        <w:rPr>
          <w:sz w:val="22"/>
          <w:szCs w:val="22"/>
        </w:rPr>
        <w:t>k evidenci.</w:t>
      </w:r>
    </w:p>
    <w:p w:rsidR="00E56BF0" w:rsidRPr="00FB3879" w:rsidRDefault="00E56BF0" w:rsidP="00E56BF0">
      <w:pPr>
        <w:spacing w:before="240"/>
        <w:jc w:val="both"/>
        <w:rPr>
          <w:sz w:val="22"/>
          <w:szCs w:val="22"/>
        </w:rPr>
      </w:pPr>
    </w:p>
    <w:p w:rsidR="00766EDA" w:rsidRPr="00372C7D" w:rsidRDefault="00766EDA" w:rsidP="00766EDA">
      <w:pPr>
        <w:jc w:val="center"/>
        <w:outlineLvl w:val="1"/>
        <w:rPr>
          <w:b/>
          <w:sz w:val="22"/>
          <w:szCs w:val="22"/>
        </w:rPr>
      </w:pPr>
      <w:bookmarkStart w:id="75" w:name="_Toc89843565"/>
      <w:r w:rsidRPr="00372C7D">
        <w:rPr>
          <w:b/>
          <w:sz w:val="22"/>
          <w:szCs w:val="22"/>
        </w:rPr>
        <w:t>Hlava třetí</w:t>
      </w:r>
      <w:bookmarkEnd w:id="70"/>
      <w:bookmarkEnd w:id="73"/>
      <w:bookmarkEnd w:id="75"/>
    </w:p>
    <w:p w:rsidR="00766EDA" w:rsidRPr="00DA3C5D" w:rsidRDefault="00766EDA" w:rsidP="00766EDA">
      <w:pPr>
        <w:keepNext/>
        <w:jc w:val="center"/>
        <w:outlineLvl w:val="1"/>
        <w:rPr>
          <w:b/>
          <w:bCs/>
          <w:sz w:val="22"/>
          <w:szCs w:val="22"/>
          <w:lang w:eastAsia="x-none"/>
        </w:rPr>
      </w:pPr>
      <w:bookmarkStart w:id="76" w:name="_Toc462655778"/>
      <w:bookmarkStart w:id="77" w:name="_Toc89843566"/>
      <w:r>
        <w:rPr>
          <w:b/>
          <w:bCs/>
          <w:sz w:val="22"/>
          <w:szCs w:val="22"/>
          <w:lang w:eastAsia="x-none"/>
        </w:rPr>
        <w:t>Postup při řešení náhrady škody příspěvkové organizaci</w:t>
      </w:r>
      <w:bookmarkEnd w:id="76"/>
      <w:bookmarkEnd w:id="77"/>
    </w:p>
    <w:p w:rsidR="00766EDA" w:rsidRDefault="00766EDA" w:rsidP="00766EDA">
      <w:pPr>
        <w:keepNext/>
        <w:jc w:val="center"/>
        <w:outlineLvl w:val="2"/>
        <w:rPr>
          <w:b/>
          <w:bCs/>
          <w:sz w:val="22"/>
          <w:szCs w:val="22"/>
          <w:lang w:val="x-none" w:eastAsia="x-none"/>
        </w:rPr>
      </w:pPr>
    </w:p>
    <w:p w:rsidR="00766EDA" w:rsidRPr="00372C7D" w:rsidRDefault="00766EDA" w:rsidP="00766EDA">
      <w:pPr>
        <w:jc w:val="center"/>
        <w:outlineLvl w:val="2"/>
        <w:rPr>
          <w:b/>
          <w:sz w:val="22"/>
          <w:szCs w:val="22"/>
        </w:rPr>
      </w:pPr>
      <w:bookmarkStart w:id="78" w:name="_Toc462655779"/>
      <w:bookmarkStart w:id="79" w:name="_Toc448146282"/>
      <w:bookmarkStart w:id="80" w:name="_Toc89843567"/>
      <w:r w:rsidRPr="00372C7D">
        <w:rPr>
          <w:b/>
          <w:sz w:val="22"/>
          <w:szCs w:val="22"/>
        </w:rPr>
        <w:t>Čl.</w:t>
      </w:r>
      <w:r>
        <w:rPr>
          <w:b/>
          <w:sz w:val="22"/>
          <w:szCs w:val="22"/>
        </w:rPr>
        <w:t xml:space="preserve"> X</w:t>
      </w:r>
      <w:r w:rsidR="00BC4821">
        <w:rPr>
          <w:b/>
          <w:sz w:val="22"/>
          <w:szCs w:val="22"/>
        </w:rPr>
        <w:t>I</w:t>
      </w:r>
      <w:r w:rsidRPr="00372C7D">
        <w:rPr>
          <w:b/>
          <w:sz w:val="22"/>
          <w:szCs w:val="22"/>
        </w:rPr>
        <w:t>.</w:t>
      </w:r>
      <w:bookmarkEnd w:id="78"/>
      <w:r w:rsidR="00076F8D">
        <w:rPr>
          <w:b/>
          <w:sz w:val="22"/>
          <w:szCs w:val="22"/>
        </w:rPr>
        <w:t xml:space="preserve"> </w:t>
      </w:r>
      <w:bookmarkStart w:id="81" w:name="_Toc462655780"/>
      <w:r w:rsidR="0037414A">
        <w:rPr>
          <w:b/>
          <w:sz w:val="22"/>
          <w:szCs w:val="22"/>
        </w:rPr>
        <w:t>Prošetření okolností, o</w:t>
      </w:r>
      <w:r>
        <w:rPr>
          <w:b/>
          <w:sz w:val="22"/>
          <w:szCs w:val="22"/>
        </w:rPr>
        <w:t>známení škody a její šetření</w:t>
      </w:r>
      <w:bookmarkEnd w:id="80"/>
      <w:bookmarkEnd w:id="81"/>
      <w:r w:rsidRPr="00372C7D">
        <w:rPr>
          <w:b/>
          <w:sz w:val="22"/>
          <w:szCs w:val="22"/>
        </w:rPr>
        <w:t xml:space="preserve"> </w:t>
      </w:r>
    </w:p>
    <w:p w:rsidR="00AB6FA3" w:rsidRPr="00BE3C7D" w:rsidRDefault="00AB6FA3" w:rsidP="00AB6FA3">
      <w:pPr>
        <w:numPr>
          <w:ilvl w:val="0"/>
          <w:numId w:val="12"/>
        </w:numPr>
        <w:spacing w:before="240"/>
        <w:jc w:val="both"/>
        <w:rPr>
          <w:sz w:val="22"/>
        </w:rPr>
      </w:pPr>
      <w:r>
        <w:rPr>
          <w:sz w:val="22"/>
        </w:rPr>
        <w:t>Ř</w:t>
      </w:r>
      <w:r w:rsidRPr="00BE3C7D">
        <w:rPr>
          <w:sz w:val="22"/>
        </w:rPr>
        <w:t>editel</w:t>
      </w:r>
      <w:r>
        <w:rPr>
          <w:sz w:val="22"/>
        </w:rPr>
        <w:t>é příspěvkových organizací</w:t>
      </w:r>
      <w:r w:rsidRPr="00BE3C7D">
        <w:rPr>
          <w:sz w:val="22"/>
        </w:rPr>
        <w:t xml:space="preserve"> nebo jimi pověřená osoba v době před rozhodným okamžikem posoudí, zda došlo ke vzniku škody způsobené zaměstnancem. O tomto posouzení pořídí</w:t>
      </w:r>
      <w:r>
        <w:rPr>
          <w:sz w:val="22"/>
        </w:rPr>
        <w:t xml:space="preserve"> ve lhůtě </w:t>
      </w:r>
      <w:r w:rsidRPr="00BE3C7D">
        <w:rPr>
          <w:sz w:val="22"/>
        </w:rPr>
        <w:t>nejdéle 20 pracovních dnů od</w:t>
      </w:r>
      <w:r>
        <w:rPr>
          <w:sz w:val="22"/>
        </w:rPr>
        <w:t xml:space="preserve"> vzniku škody</w:t>
      </w:r>
      <w:r w:rsidRPr="00BE3C7D">
        <w:rPr>
          <w:sz w:val="22"/>
        </w:rPr>
        <w:t xml:space="preserve"> </w:t>
      </w:r>
      <w:r>
        <w:rPr>
          <w:sz w:val="22"/>
        </w:rPr>
        <w:t>z</w:t>
      </w:r>
      <w:r w:rsidRPr="00BE3C7D">
        <w:rPr>
          <w:sz w:val="22"/>
        </w:rPr>
        <w:t>áznam, jehož vzor tvoří přílohu č. 1 tohoto předpisu</w:t>
      </w:r>
      <w:r>
        <w:rPr>
          <w:sz w:val="22"/>
        </w:rPr>
        <w:t xml:space="preserve">. </w:t>
      </w:r>
      <w:r w:rsidRPr="00BE3C7D">
        <w:rPr>
          <w:sz w:val="22"/>
        </w:rPr>
        <w:t>Záznam obsahuje nejméně popis události, či identifikaci výdaje z rozpočtu kraje, v důsledku kterých mohla vzniknout škoda, výši potenciální škody, posouzení, zda došlo k porušení povinností zaměstnance a datum</w:t>
      </w:r>
      <w:r>
        <w:rPr>
          <w:sz w:val="22"/>
        </w:rPr>
        <w:t>, jméno, funkci</w:t>
      </w:r>
      <w:r w:rsidRPr="00BE3C7D">
        <w:rPr>
          <w:sz w:val="22"/>
        </w:rPr>
        <w:t xml:space="preserve"> a podpis osoby, která záznam zpracovala. </w:t>
      </w:r>
    </w:p>
    <w:p w:rsidR="00AB6FA3" w:rsidRDefault="00766EDA" w:rsidP="00766EDA">
      <w:pPr>
        <w:numPr>
          <w:ilvl w:val="0"/>
          <w:numId w:val="12"/>
        </w:numPr>
        <w:spacing w:before="240"/>
        <w:jc w:val="both"/>
        <w:rPr>
          <w:sz w:val="22"/>
        </w:rPr>
      </w:pPr>
      <w:r w:rsidRPr="00BE3C7D">
        <w:rPr>
          <w:sz w:val="22"/>
        </w:rPr>
        <w:t>Ředitelé příspěvkových organizací</w:t>
      </w:r>
      <w:r w:rsidR="00AB6FA3">
        <w:rPr>
          <w:sz w:val="22"/>
        </w:rPr>
        <w:t xml:space="preserve"> nebo jimi pověřená osoba</w:t>
      </w:r>
      <w:r w:rsidRPr="00BE3C7D">
        <w:rPr>
          <w:sz w:val="22"/>
        </w:rPr>
        <w:t xml:space="preserve"> jsou</w:t>
      </w:r>
      <w:r w:rsidR="00C30431">
        <w:rPr>
          <w:sz w:val="22"/>
        </w:rPr>
        <w:t xml:space="preserve"> k rozhodnému okamžiku</w:t>
      </w:r>
      <w:r w:rsidRPr="00BE3C7D">
        <w:rPr>
          <w:sz w:val="22"/>
        </w:rPr>
        <w:t xml:space="preserve"> vzniku škody </w:t>
      </w:r>
      <w:r w:rsidR="00AB6FA3">
        <w:rPr>
          <w:sz w:val="22"/>
        </w:rPr>
        <w:t xml:space="preserve">způsobené zaměstnancem </w:t>
      </w:r>
      <w:r w:rsidRPr="00BE3C7D">
        <w:rPr>
          <w:sz w:val="22"/>
        </w:rPr>
        <w:t>povinni zajistit řádné a včasné vyšetření škody</w:t>
      </w:r>
      <w:r w:rsidR="00AB6FA3">
        <w:rPr>
          <w:sz w:val="22"/>
        </w:rPr>
        <w:t xml:space="preserve"> způsobené zaměstnancem, jejích příčin, výši</w:t>
      </w:r>
      <w:r w:rsidRPr="00BE3C7D">
        <w:rPr>
          <w:sz w:val="22"/>
        </w:rPr>
        <w:t xml:space="preserve"> škody</w:t>
      </w:r>
      <w:r w:rsidR="00AB6FA3">
        <w:rPr>
          <w:sz w:val="22"/>
        </w:rPr>
        <w:t xml:space="preserve"> způsobené zaměstnancem</w:t>
      </w:r>
      <w:r w:rsidRPr="00BE3C7D">
        <w:rPr>
          <w:sz w:val="22"/>
        </w:rPr>
        <w:t>, všech dalších okolností se škodou</w:t>
      </w:r>
      <w:r w:rsidR="00AB6FA3">
        <w:rPr>
          <w:sz w:val="22"/>
        </w:rPr>
        <w:t xml:space="preserve"> způsobenou zaměstnancem</w:t>
      </w:r>
      <w:r w:rsidRPr="00BE3C7D">
        <w:rPr>
          <w:sz w:val="22"/>
        </w:rPr>
        <w:t xml:space="preserve"> souvisejících a sepsání</w:t>
      </w:r>
      <w:r w:rsidR="00AB6FA3">
        <w:rPr>
          <w:sz w:val="22"/>
        </w:rPr>
        <w:t xml:space="preserve"> protokolu o škodě, který je součástí </w:t>
      </w:r>
      <w:r w:rsidR="00056972" w:rsidRPr="00BE3C7D">
        <w:rPr>
          <w:sz w:val="22"/>
        </w:rPr>
        <w:t>záznamu</w:t>
      </w:r>
      <w:r w:rsidRPr="00BE3C7D">
        <w:rPr>
          <w:sz w:val="22"/>
        </w:rPr>
        <w:t xml:space="preserve">. </w:t>
      </w:r>
    </w:p>
    <w:p w:rsidR="00766EDA" w:rsidRPr="00BE3C7D" w:rsidRDefault="00766EDA" w:rsidP="00766EDA">
      <w:pPr>
        <w:numPr>
          <w:ilvl w:val="0"/>
          <w:numId w:val="12"/>
        </w:numPr>
        <w:spacing w:before="240"/>
        <w:jc w:val="both"/>
        <w:rPr>
          <w:sz w:val="22"/>
        </w:rPr>
      </w:pPr>
      <w:r w:rsidRPr="00BE3C7D">
        <w:rPr>
          <w:sz w:val="22"/>
        </w:rPr>
        <w:t>Za účelem</w:t>
      </w:r>
      <w:r w:rsidR="00AB6FA3">
        <w:rPr>
          <w:sz w:val="22"/>
        </w:rPr>
        <w:t xml:space="preserve"> plnění shora specifikovaných povinností</w:t>
      </w:r>
      <w:r w:rsidRPr="00BE3C7D">
        <w:rPr>
          <w:sz w:val="22"/>
        </w:rPr>
        <w:t xml:space="preserve"> jsou ředitelé příspěvkových organizací povinni nejdéle do dvou měsíců ode dne nabytí účinnosti tohoto předpisu zajistit </w:t>
      </w:r>
      <w:r w:rsidR="003C5DA9" w:rsidRPr="00BE3C7D">
        <w:rPr>
          <w:sz w:val="22"/>
        </w:rPr>
        <w:t>aktualizaci</w:t>
      </w:r>
      <w:r w:rsidRPr="00BE3C7D">
        <w:rPr>
          <w:sz w:val="22"/>
        </w:rPr>
        <w:t xml:space="preserve"> vnitřního předpisu příspěvkové organizace, který bude upravovat závazný postup při řešení případů odpovědnosti za škodu způsobenou zaměstnancem zaměstnavateli. Vzor vnitřního předpisu o řešení škodních případů, je</w:t>
      </w:r>
      <w:r w:rsidR="00B65B4F">
        <w:rPr>
          <w:sz w:val="22"/>
        </w:rPr>
        <w:t> </w:t>
      </w:r>
      <w:r w:rsidR="00555F96">
        <w:rPr>
          <w:sz w:val="22"/>
        </w:rPr>
        <w:t xml:space="preserve">přílohou č. </w:t>
      </w:r>
      <w:r w:rsidRPr="00BE3C7D">
        <w:rPr>
          <w:sz w:val="22"/>
        </w:rPr>
        <w:t>4 tohoto dokumentu, přičemž je pro ředitele příspěvkových organizací obsahově závazný v podobě dané vzorem tohoto předpisu.</w:t>
      </w:r>
    </w:p>
    <w:p w:rsidR="00E84832" w:rsidRDefault="00766EDA" w:rsidP="00766EDA">
      <w:pPr>
        <w:numPr>
          <w:ilvl w:val="0"/>
          <w:numId w:val="12"/>
        </w:numPr>
        <w:spacing w:before="240"/>
        <w:jc w:val="both"/>
        <w:rPr>
          <w:sz w:val="22"/>
        </w:rPr>
      </w:pPr>
      <w:r w:rsidRPr="00BE3C7D">
        <w:rPr>
          <w:sz w:val="22"/>
        </w:rPr>
        <w:t xml:space="preserve">Způsobí-li škodu ředitel příspěvkové organizace sám nebo společně s podřízeným zaměstnancem, určí výši náhrady škody v souladu § 262 zákoníku práce </w:t>
      </w:r>
      <w:r w:rsidR="003C5DA9" w:rsidRPr="00BE3C7D">
        <w:rPr>
          <w:sz w:val="22"/>
        </w:rPr>
        <w:t xml:space="preserve">vždy </w:t>
      </w:r>
      <w:r w:rsidRPr="00BE3C7D">
        <w:rPr>
          <w:sz w:val="22"/>
        </w:rPr>
        <w:t>zřizovatel. O jakékoli škodě, způso</w:t>
      </w:r>
      <w:r w:rsidR="003C5DA9" w:rsidRPr="00BE3C7D">
        <w:rPr>
          <w:sz w:val="22"/>
        </w:rPr>
        <w:t>bené</w:t>
      </w:r>
      <w:r w:rsidRPr="00BE3C7D">
        <w:rPr>
          <w:sz w:val="22"/>
        </w:rPr>
        <w:t xml:space="preserve"> ředitel</w:t>
      </w:r>
      <w:r w:rsidR="003C5DA9" w:rsidRPr="00BE3C7D">
        <w:rPr>
          <w:sz w:val="22"/>
        </w:rPr>
        <w:t>em</w:t>
      </w:r>
      <w:r w:rsidRPr="00BE3C7D">
        <w:rPr>
          <w:sz w:val="22"/>
        </w:rPr>
        <w:t xml:space="preserve"> příspěvkové organizace, je ředitel příspěvkové organizace, popř. jeho zástupce povinen informovat zřizovatele, resp. příslušný zřizovatelský odbor </w:t>
      </w:r>
      <w:r w:rsidR="004F4527">
        <w:rPr>
          <w:sz w:val="22"/>
        </w:rPr>
        <w:t>a</w:t>
      </w:r>
      <w:r w:rsidRPr="00BE3C7D">
        <w:rPr>
          <w:sz w:val="22"/>
        </w:rPr>
        <w:t xml:space="preserve"> finanční odbor bez zbytečného prodlení po zjištění vzniklé škody, a to formou sepsání </w:t>
      </w:r>
      <w:r w:rsidR="00056972" w:rsidRPr="00BE3C7D">
        <w:rPr>
          <w:sz w:val="22"/>
        </w:rPr>
        <w:t xml:space="preserve">záznamu </w:t>
      </w:r>
      <w:r w:rsidRPr="00BE3C7D">
        <w:rPr>
          <w:sz w:val="22"/>
        </w:rPr>
        <w:t>dle článku VII. a přílohy č. 1 předpisu.</w:t>
      </w:r>
      <w:r w:rsidR="003C5DA9" w:rsidRPr="00BE3C7D">
        <w:rPr>
          <w:sz w:val="22"/>
        </w:rPr>
        <w:t xml:space="preserve"> </w:t>
      </w:r>
    </w:p>
    <w:p w:rsidR="00BC4821" w:rsidRPr="00BE3C7D" w:rsidRDefault="00BC4821" w:rsidP="002170D1">
      <w:pPr>
        <w:spacing w:before="240"/>
        <w:jc w:val="both"/>
        <w:rPr>
          <w:sz w:val="22"/>
        </w:rPr>
      </w:pPr>
    </w:p>
    <w:p w:rsidR="00766EDA" w:rsidRPr="00BE3C7D" w:rsidRDefault="00766EDA" w:rsidP="00766EDA">
      <w:pPr>
        <w:jc w:val="center"/>
        <w:outlineLvl w:val="0"/>
        <w:rPr>
          <w:b/>
          <w:color w:val="000000"/>
          <w:sz w:val="22"/>
          <w:szCs w:val="22"/>
        </w:rPr>
      </w:pPr>
      <w:bookmarkStart w:id="82" w:name="_Toc257810802"/>
      <w:bookmarkStart w:id="83" w:name="_Toc257810895"/>
      <w:bookmarkStart w:id="84" w:name="_Toc448146313"/>
      <w:bookmarkStart w:id="85" w:name="_Toc462655783"/>
      <w:bookmarkStart w:id="86" w:name="_Toc89843568"/>
      <w:bookmarkEnd w:id="79"/>
      <w:r w:rsidRPr="00BE3C7D">
        <w:rPr>
          <w:b/>
          <w:i/>
          <w:sz w:val="22"/>
          <w:szCs w:val="22"/>
        </w:rPr>
        <w:t xml:space="preserve">Část </w:t>
      </w:r>
      <w:bookmarkEnd w:id="82"/>
      <w:bookmarkEnd w:id="83"/>
      <w:r w:rsidRPr="00BE3C7D">
        <w:rPr>
          <w:b/>
          <w:i/>
          <w:sz w:val="22"/>
          <w:szCs w:val="22"/>
        </w:rPr>
        <w:t>třetí</w:t>
      </w:r>
      <w:bookmarkEnd w:id="84"/>
      <w:bookmarkEnd w:id="85"/>
      <w:bookmarkEnd w:id="86"/>
    </w:p>
    <w:p w:rsidR="00766EDA" w:rsidRPr="00BE3C7D" w:rsidRDefault="003B71EE" w:rsidP="00766EDA">
      <w:pPr>
        <w:jc w:val="center"/>
        <w:outlineLvl w:val="0"/>
        <w:rPr>
          <w:b/>
          <w:caps/>
          <w:color w:val="000000"/>
          <w:sz w:val="22"/>
          <w:szCs w:val="22"/>
        </w:rPr>
      </w:pPr>
      <w:bookmarkStart w:id="87" w:name="_Toc448146314"/>
      <w:bookmarkStart w:id="88" w:name="_Toc462655784"/>
      <w:bookmarkStart w:id="89" w:name="_Toc89843569"/>
      <w:r w:rsidRPr="00BE3C7D">
        <w:rPr>
          <w:b/>
          <w:caps/>
          <w:color w:val="000000"/>
          <w:sz w:val="22"/>
          <w:szCs w:val="22"/>
        </w:rPr>
        <w:t xml:space="preserve">přechodná a </w:t>
      </w:r>
      <w:r w:rsidR="00766EDA" w:rsidRPr="00BE3C7D">
        <w:rPr>
          <w:b/>
          <w:caps/>
          <w:color w:val="000000"/>
          <w:sz w:val="22"/>
          <w:szCs w:val="22"/>
        </w:rPr>
        <w:t>Závěrečná ustanovení</w:t>
      </w:r>
      <w:bookmarkEnd w:id="87"/>
      <w:bookmarkEnd w:id="88"/>
      <w:bookmarkEnd w:id="89"/>
    </w:p>
    <w:p w:rsidR="00766EDA" w:rsidRPr="00BE3C7D" w:rsidRDefault="00766EDA" w:rsidP="00766EDA">
      <w:pPr>
        <w:jc w:val="center"/>
        <w:rPr>
          <w:b/>
          <w:color w:val="000000"/>
          <w:sz w:val="22"/>
          <w:szCs w:val="22"/>
        </w:rPr>
      </w:pPr>
    </w:p>
    <w:p w:rsidR="00766EDA" w:rsidRPr="00BE3C7D" w:rsidRDefault="00766EDA" w:rsidP="00766EDA">
      <w:pPr>
        <w:jc w:val="center"/>
        <w:outlineLvl w:val="2"/>
        <w:rPr>
          <w:b/>
          <w:color w:val="000000"/>
          <w:sz w:val="22"/>
          <w:szCs w:val="22"/>
        </w:rPr>
      </w:pPr>
      <w:bookmarkStart w:id="90" w:name="_Toc257810803"/>
      <w:bookmarkStart w:id="91" w:name="_Toc257810896"/>
      <w:bookmarkStart w:id="92" w:name="_Toc448146315"/>
      <w:bookmarkStart w:id="93" w:name="_Toc462655785"/>
      <w:bookmarkStart w:id="94" w:name="_Toc89843570"/>
      <w:r w:rsidRPr="00BE3C7D">
        <w:rPr>
          <w:b/>
          <w:color w:val="000000"/>
          <w:sz w:val="22"/>
          <w:szCs w:val="22"/>
        </w:rPr>
        <w:t>Čl. X</w:t>
      </w:r>
      <w:r w:rsidR="00BC4821">
        <w:rPr>
          <w:b/>
          <w:color w:val="000000"/>
          <w:sz w:val="22"/>
          <w:szCs w:val="22"/>
        </w:rPr>
        <w:t>I</w:t>
      </w:r>
      <w:r w:rsidRPr="00BE3C7D">
        <w:rPr>
          <w:b/>
          <w:color w:val="000000"/>
          <w:sz w:val="22"/>
          <w:szCs w:val="22"/>
        </w:rPr>
        <w:t>I.</w:t>
      </w:r>
      <w:bookmarkEnd w:id="90"/>
      <w:bookmarkEnd w:id="91"/>
      <w:bookmarkEnd w:id="92"/>
      <w:bookmarkEnd w:id="93"/>
      <w:r w:rsidRPr="00BE3C7D">
        <w:rPr>
          <w:b/>
          <w:color w:val="000000"/>
          <w:sz w:val="22"/>
          <w:szCs w:val="22"/>
        </w:rPr>
        <w:t xml:space="preserve"> Konečná ustanovení</w:t>
      </w:r>
      <w:bookmarkEnd w:id="94"/>
    </w:p>
    <w:p w:rsidR="003B71EE" w:rsidRPr="00BE3C7D" w:rsidRDefault="003B71EE" w:rsidP="00766EDA">
      <w:pPr>
        <w:numPr>
          <w:ilvl w:val="0"/>
          <w:numId w:val="5"/>
        </w:numPr>
        <w:spacing w:before="240"/>
        <w:jc w:val="both"/>
        <w:rPr>
          <w:sz w:val="22"/>
        </w:rPr>
      </w:pPr>
      <w:r w:rsidRPr="00BE3C7D">
        <w:rPr>
          <w:sz w:val="22"/>
        </w:rPr>
        <w:t xml:space="preserve">Postup </w:t>
      </w:r>
      <w:r w:rsidR="006C40D4" w:rsidRPr="00BE3C7D">
        <w:rPr>
          <w:sz w:val="22"/>
        </w:rPr>
        <w:t>stanovený k</w:t>
      </w:r>
      <w:r w:rsidR="00A22B39" w:rsidRPr="00BE3C7D">
        <w:rPr>
          <w:sz w:val="22"/>
        </w:rPr>
        <w:t xml:space="preserve"> řešení náhrady škody </w:t>
      </w:r>
      <w:r w:rsidRPr="00BE3C7D">
        <w:rPr>
          <w:sz w:val="22"/>
        </w:rPr>
        <w:t xml:space="preserve">dle čl. VII. tohoto předpisu se použije i u </w:t>
      </w:r>
      <w:r w:rsidR="009B7627" w:rsidRPr="00BE3C7D">
        <w:rPr>
          <w:sz w:val="22"/>
        </w:rPr>
        <w:t>posouzení škod</w:t>
      </w:r>
      <w:r w:rsidRPr="00BE3C7D">
        <w:rPr>
          <w:sz w:val="22"/>
        </w:rPr>
        <w:t>, u</w:t>
      </w:r>
      <w:r w:rsidR="00B65B4F">
        <w:rPr>
          <w:sz w:val="22"/>
        </w:rPr>
        <w:t> </w:t>
      </w:r>
      <w:r w:rsidRPr="00BE3C7D">
        <w:rPr>
          <w:sz w:val="22"/>
        </w:rPr>
        <w:t xml:space="preserve">nichž </w:t>
      </w:r>
      <w:r w:rsidR="00C61F44" w:rsidRPr="00BE3C7D">
        <w:rPr>
          <w:sz w:val="22"/>
        </w:rPr>
        <w:t xml:space="preserve">dosud </w:t>
      </w:r>
      <w:r w:rsidR="006C40D4" w:rsidRPr="00BE3C7D">
        <w:rPr>
          <w:sz w:val="22"/>
        </w:rPr>
        <w:t>k</w:t>
      </w:r>
      <w:r w:rsidR="00A22B39" w:rsidRPr="00BE3C7D">
        <w:rPr>
          <w:sz w:val="22"/>
        </w:rPr>
        <w:t xml:space="preserve"> aplikaci tohoto postupu </w:t>
      </w:r>
      <w:r w:rsidR="00056972" w:rsidRPr="00BE3C7D">
        <w:rPr>
          <w:sz w:val="22"/>
        </w:rPr>
        <w:t xml:space="preserve">ve smyslu shora </w:t>
      </w:r>
      <w:r w:rsidR="009B7627" w:rsidRPr="00BE3C7D">
        <w:rPr>
          <w:sz w:val="22"/>
        </w:rPr>
        <w:t>citova</w:t>
      </w:r>
      <w:r w:rsidR="00056972" w:rsidRPr="00BE3C7D">
        <w:rPr>
          <w:sz w:val="22"/>
        </w:rPr>
        <w:t xml:space="preserve">ného článku VII. tohoto předpisu </w:t>
      </w:r>
      <w:r w:rsidR="006C40D4" w:rsidRPr="00BE3C7D">
        <w:rPr>
          <w:sz w:val="22"/>
        </w:rPr>
        <w:t>nedošlo.</w:t>
      </w:r>
    </w:p>
    <w:p w:rsidR="00766EDA" w:rsidRPr="00510A98" w:rsidRDefault="00766EDA" w:rsidP="00766EDA">
      <w:pPr>
        <w:numPr>
          <w:ilvl w:val="0"/>
          <w:numId w:val="5"/>
        </w:numPr>
        <w:spacing w:before="240"/>
        <w:jc w:val="both"/>
        <w:rPr>
          <w:sz w:val="22"/>
        </w:rPr>
      </w:pPr>
      <w:r w:rsidRPr="00BE3C7D">
        <w:rPr>
          <w:sz w:val="22"/>
        </w:rPr>
        <w:t>Tímto předpisem nejsou dotčena ustanovení obecně závazných právních předpisů týkající</w:t>
      </w:r>
      <w:r w:rsidRPr="00510A98">
        <w:rPr>
          <w:sz w:val="22"/>
        </w:rPr>
        <w:t xml:space="preserve"> se zejména hlášení a vyšetřování havárií, pracovních úrazů a nemocí z povolání, správy a ochrany majetku, bezpečnosti práce a požární ochrany.</w:t>
      </w:r>
    </w:p>
    <w:p w:rsidR="00766EDA" w:rsidRDefault="00766EDA" w:rsidP="00766EDA">
      <w:pPr>
        <w:numPr>
          <w:ilvl w:val="0"/>
          <w:numId w:val="5"/>
        </w:numPr>
        <w:spacing w:before="240"/>
        <w:jc w:val="both"/>
        <w:rPr>
          <w:sz w:val="22"/>
        </w:rPr>
      </w:pPr>
      <w:r w:rsidRPr="00510A98">
        <w:rPr>
          <w:sz w:val="22"/>
        </w:rPr>
        <w:t>Porušování povinností vyplývajících z</w:t>
      </w:r>
      <w:r>
        <w:rPr>
          <w:sz w:val="22"/>
        </w:rPr>
        <w:t xml:space="preserve"> tohoto předpisu </w:t>
      </w:r>
      <w:r w:rsidRPr="00510A98">
        <w:rPr>
          <w:sz w:val="22"/>
        </w:rPr>
        <w:t xml:space="preserve">je porušováním pracovní kázně ve smyslu příslušných ustanovení zákoníku práce. </w:t>
      </w:r>
    </w:p>
    <w:p w:rsidR="00766EDA" w:rsidRPr="00510A98" w:rsidRDefault="00766EDA" w:rsidP="00766EDA">
      <w:pPr>
        <w:numPr>
          <w:ilvl w:val="0"/>
          <w:numId w:val="5"/>
        </w:numPr>
        <w:spacing w:before="240"/>
        <w:jc w:val="both"/>
        <w:rPr>
          <w:sz w:val="22"/>
        </w:rPr>
      </w:pPr>
      <w:r>
        <w:rPr>
          <w:sz w:val="22"/>
        </w:rPr>
        <w:t>Právní vztahy tímto předpisem neupravené se řídí obecně závaznými právními předpisy, zejména zákoníkem práce a občanským zákoníkem.</w:t>
      </w:r>
    </w:p>
    <w:p w:rsidR="00766EDA" w:rsidRDefault="00766EDA" w:rsidP="00766EDA">
      <w:pPr>
        <w:pStyle w:val="Textpoznpodarou"/>
        <w:numPr>
          <w:ilvl w:val="0"/>
          <w:numId w:val="5"/>
        </w:numPr>
        <w:spacing w:before="240"/>
        <w:rPr>
          <w:color w:val="000000"/>
          <w:sz w:val="22"/>
          <w:szCs w:val="22"/>
        </w:rPr>
      </w:pPr>
      <w:r w:rsidRPr="00F773FE">
        <w:rPr>
          <w:color w:val="000000"/>
          <w:sz w:val="22"/>
          <w:szCs w:val="22"/>
        </w:rPr>
        <w:t>T</w:t>
      </w:r>
      <w:r>
        <w:rPr>
          <w:color w:val="000000"/>
          <w:sz w:val="22"/>
          <w:szCs w:val="22"/>
        </w:rPr>
        <w:t xml:space="preserve">ento předpis </w:t>
      </w:r>
      <w:r w:rsidRPr="00F773FE">
        <w:rPr>
          <w:color w:val="000000"/>
          <w:sz w:val="22"/>
          <w:szCs w:val="22"/>
        </w:rPr>
        <w:t xml:space="preserve">byl schválen usnesením </w:t>
      </w:r>
      <w:r>
        <w:rPr>
          <w:color w:val="000000"/>
          <w:sz w:val="22"/>
          <w:szCs w:val="22"/>
        </w:rPr>
        <w:t>R</w:t>
      </w:r>
      <w:r w:rsidRPr="00F773FE">
        <w:rPr>
          <w:color w:val="000000"/>
          <w:sz w:val="22"/>
          <w:szCs w:val="22"/>
        </w:rPr>
        <w:t>ady</w:t>
      </w:r>
      <w:r>
        <w:rPr>
          <w:color w:val="000000"/>
          <w:sz w:val="22"/>
          <w:szCs w:val="22"/>
        </w:rPr>
        <w:t xml:space="preserve"> Karlovarského kraje</w:t>
      </w:r>
      <w:r w:rsidRPr="00F773FE">
        <w:rPr>
          <w:color w:val="000000"/>
          <w:sz w:val="22"/>
          <w:szCs w:val="22"/>
        </w:rPr>
        <w:t xml:space="preserve"> č. RK</w:t>
      </w:r>
      <w:r w:rsidR="00182CB5">
        <w:rPr>
          <w:color w:val="000000"/>
          <w:sz w:val="22"/>
          <w:szCs w:val="22"/>
        </w:rPr>
        <w:t xml:space="preserve"> 1395/12/21 ze dne 20. 12. 2021.</w:t>
      </w:r>
      <w:r>
        <w:rPr>
          <w:color w:val="000000"/>
          <w:sz w:val="22"/>
          <w:szCs w:val="22"/>
        </w:rPr>
        <w:t xml:space="preserve"> </w:t>
      </w:r>
    </w:p>
    <w:p w:rsidR="00C90809" w:rsidRPr="00F773FE" w:rsidRDefault="00C90809" w:rsidP="00766EDA">
      <w:pPr>
        <w:pStyle w:val="Textpoznpodarou"/>
        <w:numPr>
          <w:ilvl w:val="0"/>
          <w:numId w:val="5"/>
        </w:numPr>
        <w:spacing w:before="240"/>
        <w:rPr>
          <w:color w:val="000000"/>
          <w:sz w:val="22"/>
          <w:szCs w:val="22"/>
        </w:rPr>
      </w:pPr>
      <w:r>
        <w:rPr>
          <w:color w:val="000000"/>
          <w:sz w:val="22"/>
          <w:szCs w:val="22"/>
        </w:rPr>
        <w:t>Tento předpis byl schválen hejtmanem Karlovarského kraje dne</w:t>
      </w:r>
      <w:r w:rsidR="00474C1B">
        <w:rPr>
          <w:color w:val="000000"/>
          <w:sz w:val="22"/>
          <w:szCs w:val="22"/>
        </w:rPr>
        <w:t xml:space="preserve"> 20. 1. 2022 </w:t>
      </w:r>
      <w:r>
        <w:rPr>
          <w:color w:val="000000"/>
          <w:sz w:val="22"/>
          <w:szCs w:val="22"/>
        </w:rPr>
        <w:t>a ředitelkou krajského úřadu dne</w:t>
      </w:r>
      <w:r w:rsidR="00474C1B">
        <w:rPr>
          <w:color w:val="000000"/>
          <w:sz w:val="22"/>
          <w:szCs w:val="22"/>
        </w:rPr>
        <w:t xml:space="preserve"> 20. 1. 2022.</w:t>
      </w:r>
    </w:p>
    <w:p w:rsidR="00766EDA" w:rsidRPr="00372C7D" w:rsidRDefault="00766EDA" w:rsidP="00BE3C7D">
      <w:pPr>
        <w:numPr>
          <w:ilvl w:val="0"/>
          <w:numId w:val="5"/>
        </w:numPr>
        <w:spacing w:before="240"/>
        <w:jc w:val="both"/>
        <w:rPr>
          <w:color w:val="000000"/>
          <w:sz w:val="22"/>
          <w:szCs w:val="22"/>
        </w:rPr>
      </w:pPr>
      <w:r w:rsidRPr="00372C7D">
        <w:rPr>
          <w:color w:val="000000"/>
          <w:sz w:val="22"/>
          <w:szCs w:val="22"/>
        </w:rPr>
        <w:t>T</w:t>
      </w:r>
      <w:r>
        <w:rPr>
          <w:color w:val="000000"/>
          <w:sz w:val="22"/>
          <w:szCs w:val="22"/>
        </w:rPr>
        <w:t xml:space="preserve">ento předpis </w:t>
      </w:r>
      <w:r w:rsidRPr="00372C7D">
        <w:rPr>
          <w:color w:val="000000"/>
          <w:sz w:val="22"/>
          <w:szCs w:val="22"/>
        </w:rPr>
        <w:t>v plném rozsahu nahrazuj</w:t>
      </w:r>
      <w:r>
        <w:rPr>
          <w:color w:val="000000"/>
          <w:sz w:val="22"/>
          <w:szCs w:val="22"/>
        </w:rPr>
        <w:t>e</w:t>
      </w:r>
      <w:r w:rsidR="00556103">
        <w:rPr>
          <w:color w:val="000000"/>
          <w:sz w:val="22"/>
          <w:szCs w:val="22"/>
        </w:rPr>
        <w:t xml:space="preserve"> předpis Rady kraje č. PR 02/2017</w:t>
      </w:r>
      <w:r w:rsidR="005506C2">
        <w:rPr>
          <w:color w:val="000000"/>
          <w:sz w:val="22"/>
          <w:szCs w:val="22"/>
        </w:rPr>
        <w:t>,</w:t>
      </w:r>
      <w:r w:rsidR="00556103">
        <w:rPr>
          <w:color w:val="000000"/>
          <w:sz w:val="22"/>
          <w:szCs w:val="22"/>
        </w:rPr>
        <w:t xml:space="preserve"> Pro řešení případů odpovědnosti za škodu ze dne 1. 7. 2017</w:t>
      </w:r>
      <w:r w:rsidRPr="00372C7D">
        <w:rPr>
          <w:color w:val="000000"/>
          <w:sz w:val="22"/>
          <w:szCs w:val="22"/>
        </w:rPr>
        <w:t>.</w:t>
      </w:r>
    </w:p>
    <w:p w:rsidR="00766EDA" w:rsidRPr="00BE3C7D" w:rsidRDefault="00766EDA" w:rsidP="00766EDA">
      <w:pPr>
        <w:numPr>
          <w:ilvl w:val="0"/>
          <w:numId w:val="5"/>
        </w:numPr>
        <w:spacing w:before="240"/>
        <w:rPr>
          <w:color w:val="000000"/>
          <w:sz w:val="22"/>
          <w:szCs w:val="22"/>
        </w:rPr>
      </w:pPr>
      <w:r w:rsidRPr="00BE3C7D">
        <w:rPr>
          <w:color w:val="000000"/>
          <w:sz w:val="22"/>
          <w:szCs w:val="22"/>
        </w:rPr>
        <w:t>Tento předpis nabývá účinnosti dne</w:t>
      </w:r>
      <w:r w:rsidR="00C30431">
        <w:rPr>
          <w:color w:val="000000"/>
          <w:sz w:val="22"/>
          <w:szCs w:val="22"/>
        </w:rPr>
        <w:t xml:space="preserve">m </w:t>
      </w:r>
      <w:r w:rsidR="00182CB5">
        <w:rPr>
          <w:color w:val="000000"/>
          <w:sz w:val="22"/>
          <w:szCs w:val="22"/>
        </w:rPr>
        <w:t>1. 2. 2022.</w:t>
      </w:r>
    </w:p>
    <w:p w:rsidR="008F2D1B" w:rsidRPr="00A1136C" w:rsidRDefault="008F2D1B" w:rsidP="00275153">
      <w:pPr>
        <w:outlineLvl w:val="0"/>
        <w:rPr>
          <w:sz w:val="22"/>
          <w:szCs w:val="22"/>
        </w:rPr>
      </w:pPr>
    </w:p>
    <w:p w:rsidR="008C6CB7" w:rsidRPr="00A1136C" w:rsidRDefault="008C6CB7" w:rsidP="00275153">
      <w:pPr>
        <w:outlineLvl w:val="0"/>
        <w:rPr>
          <w:sz w:val="22"/>
          <w:szCs w:val="22"/>
        </w:rPr>
      </w:pPr>
    </w:p>
    <w:p w:rsidR="00E53CCE" w:rsidRPr="00275153" w:rsidRDefault="00E53CCE" w:rsidP="00275153">
      <w:pPr>
        <w:outlineLvl w:val="0"/>
        <w:rPr>
          <w:b/>
          <w:i/>
          <w:sz w:val="22"/>
          <w:szCs w:val="22"/>
        </w:rPr>
      </w:pPr>
      <w:bookmarkStart w:id="95" w:name="_Toc89843571"/>
      <w:r w:rsidRPr="00275153">
        <w:rPr>
          <w:b/>
          <w:i/>
          <w:sz w:val="22"/>
          <w:szCs w:val="22"/>
        </w:rPr>
        <w:t>Přílohy:</w:t>
      </w:r>
      <w:bookmarkEnd w:id="95"/>
      <w:r w:rsidRPr="00275153">
        <w:rPr>
          <w:b/>
          <w:i/>
          <w:sz w:val="22"/>
          <w:szCs w:val="22"/>
        </w:rPr>
        <w:t xml:space="preserve"> </w:t>
      </w:r>
    </w:p>
    <w:p w:rsidR="00E53CCE" w:rsidRPr="00BE3C7D" w:rsidRDefault="00E53CCE" w:rsidP="00E53CCE">
      <w:pPr>
        <w:rPr>
          <w:bCs/>
          <w:sz w:val="22"/>
          <w:szCs w:val="22"/>
        </w:rPr>
      </w:pPr>
      <w:r w:rsidRPr="00BE3C7D">
        <w:rPr>
          <w:bCs/>
          <w:sz w:val="22"/>
          <w:szCs w:val="22"/>
        </w:rPr>
        <w:t xml:space="preserve">č. 1 – Vzor </w:t>
      </w:r>
      <w:r w:rsidR="00056972" w:rsidRPr="00BE3C7D">
        <w:rPr>
          <w:bCs/>
          <w:sz w:val="22"/>
          <w:szCs w:val="22"/>
        </w:rPr>
        <w:t>záznamu o posouzení škody</w:t>
      </w:r>
    </w:p>
    <w:p w:rsidR="00E53CCE" w:rsidRPr="00BE3C7D" w:rsidRDefault="00E53CCE" w:rsidP="00E53CCE">
      <w:pPr>
        <w:rPr>
          <w:bCs/>
          <w:sz w:val="22"/>
          <w:szCs w:val="22"/>
        </w:rPr>
      </w:pPr>
      <w:r w:rsidRPr="00BE3C7D">
        <w:rPr>
          <w:bCs/>
          <w:sz w:val="22"/>
          <w:szCs w:val="22"/>
        </w:rPr>
        <w:t>č. 2 -  Rozsah poskytování náhrady škody v případě škody na hmotném majetku</w:t>
      </w:r>
    </w:p>
    <w:p w:rsidR="00E53CCE" w:rsidRPr="00BD5243" w:rsidRDefault="00E53CCE" w:rsidP="00E53CCE">
      <w:pPr>
        <w:rPr>
          <w:bCs/>
          <w:sz w:val="22"/>
          <w:szCs w:val="22"/>
        </w:rPr>
      </w:pPr>
      <w:r w:rsidRPr="00BE3C7D">
        <w:rPr>
          <w:bCs/>
          <w:sz w:val="22"/>
          <w:szCs w:val="22"/>
        </w:rPr>
        <w:t>č. 3 – Podání informace zaměstnavatele o vzniku škody</w:t>
      </w:r>
    </w:p>
    <w:p w:rsidR="00E53CCE" w:rsidRDefault="00E53CCE" w:rsidP="00E53CCE">
      <w:pPr>
        <w:pStyle w:val="Textkomente"/>
        <w:rPr>
          <w:bCs/>
          <w:sz w:val="22"/>
          <w:szCs w:val="22"/>
        </w:rPr>
      </w:pPr>
      <w:r w:rsidRPr="005D7DB0">
        <w:rPr>
          <w:bCs/>
          <w:sz w:val="22"/>
          <w:szCs w:val="22"/>
        </w:rPr>
        <w:t xml:space="preserve">č. </w:t>
      </w:r>
      <w:r>
        <w:rPr>
          <w:bCs/>
          <w:sz w:val="22"/>
          <w:szCs w:val="22"/>
        </w:rPr>
        <w:t>4</w:t>
      </w:r>
      <w:r w:rsidRPr="005D7DB0">
        <w:rPr>
          <w:bCs/>
          <w:sz w:val="22"/>
          <w:szCs w:val="22"/>
        </w:rPr>
        <w:t xml:space="preserve"> - </w:t>
      </w:r>
      <w:r>
        <w:rPr>
          <w:bCs/>
          <w:sz w:val="22"/>
          <w:szCs w:val="22"/>
        </w:rPr>
        <w:t xml:space="preserve"> Vzor vnitřního předpisu o řešení škodních případů</w:t>
      </w:r>
    </w:p>
    <w:p w:rsidR="00556103" w:rsidRDefault="00556103" w:rsidP="00E53CCE">
      <w:pPr>
        <w:pStyle w:val="Textkomente"/>
        <w:rPr>
          <w:bCs/>
          <w:sz w:val="22"/>
          <w:szCs w:val="22"/>
        </w:rPr>
      </w:pPr>
      <w:r>
        <w:rPr>
          <w:bCs/>
          <w:sz w:val="22"/>
          <w:szCs w:val="22"/>
        </w:rPr>
        <w:t>č. 5</w:t>
      </w:r>
      <w:r w:rsidR="007C3493">
        <w:rPr>
          <w:bCs/>
          <w:sz w:val="22"/>
          <w:szCs w:val="22"/>
        </w:rPr>
        <w:t xml:space="preserve"> </w:t>
      </w:r>
      <w:r>
        <w:rPr>
          <w:bCs/>
          <w:sz w:val="22"/>
          <w:szCs w:val="22"/>
        </w:rPr>
        <w:t xml:space="preserve">- </w:t>
      </w:r>
      <w:r w:rsidR="007C3493">
        <w:rPr>
          <w:bCs/>
          <w:sz w:val="22"/>
          <w:szCs w:val="22"/>
        </w:rPr>
        <w:t xml:space="preserve"> Schéma</w:t>
      </w:r>
      <w:r w:rsidR="004C7389">
        <w:rPr>
          <w:bCs/>
          <w:sz w:val="22"/>
          <w:szCs w:val="22"/>
        </w:rPr>
        <w:t xml:space="preserve"> postupu řešení škodních případů Karlovarského kraje</w:t>
      </w:r>
    </w:p>
    <w:p w:rsidR="00766EDA" w:rsidRDefault="007C3493" w:rsidP="009935F7">
      <w:pPr>
        <w:pStyle w:val="Textkomente"/>
        <w:rPr>
          <w:rFonts w:eastAsia="Arial Unicode MS"/>
          <w:sz w:val="22"/>
          <w:szCs w:val="22"/>
        </w:rPr>
      </w:pPr>
      <w:r>
        <w:rPr>
          <w:bCs/>
          <w:sz w:val="22"/>
          <w:szCs w:val="22"/>
        </w:rPr>
        <w:t xml:space="preserve">č. </w:t>
      </w:r>
      <w:r w:rsidR="00711B99">
        <w:rPr>
          <w:bCs/>
          <w:sz w:val="22"/>
          <w:szCs w:val="22"/>
        </w:rPr>
        <w:t>6</w:t>
      </w:r>
      <w:r>
        <w:rPr>
          <w:bCs/>
          <w:sz w:val="22"/>
          <w:szCs w:val="22"/>
        </w:rPr>
        <w:t xml:space="preserve"> – Schéma </w:t>
      </w:r>
      <w:r w:rsidR="004C7389">
        <w:rPr>
          <w:bCs/>
          <w:sz w:val="22"/>
          <w:szCs w:val="22"/>
        </w:rPr>
        <w:t>postupu řešení škodních případů příspěvkových organizací Karlovarského kraje</w:t>
      </w:r>
    </w:p>
    <w:p w:rsidR="00494AC4" w:rsidRDefault="00494AC4" w:rsidP="00766EDA">
      <w:pPr>
        <w:rPr>
          <w:rFonts w:eastAsia="Arial Unicode MS"/>
          <w:sz w:val="22"/>
          <w:szCs w:val="22"/>
        </w:rPr>
      </w:pPr>
    </w:p>
    <w:p w:rsidR="00315CB8" w:rsidRDefault="00315CB8" w:rsidP="00766EDA">
      <w:pPr>
        <w:rPr>
          <w:rFonts w:eastAsia="Arial Unicode MS"/>
          <w:sz w:val="22"/>
          <w:szCs w:val="22"/>
        </w:rPr>
      </w:pPr>
    </w:p>
    <w:p w:rsidR="00315CB8" w:rsidRPr="008876A4" w:rsidRDefault="00766EDA" w:rsidP="00315CB8">
      <w:pPr>
        <w:rPr>
          <w:rFonts w:eastAsia="Arial Unicode MS"/>
          <w:sz w:val="22"/>
          <w:szCs w:val="22"/>
        </w:rPr>
      </w:pPr>
      <w:r w:rsidRPr="008876A4">
        <w:rPr>
          <w:rFonts w:eastAsia="Arial Unicode MS"/>
          <w:sz w:val="22"/>
          <w:szCs w:val="22"/>
        </w:rPr>
        <w:t>……………………………</w:t>
      </w:r>
      <w:r w:rsidR="00315CB8">
        <w:rPr>
          <w:rFonts w:eastAsia="Arial Unicode MS"/>
          <w:sz w:val="22"/>
          <w:szCs w:val="22"/>
        </w:rPr>
        <w:tab/>
      </w:r>
      <w:r w:rsidR="00315CB8">
        <w:rPr>
          <w:rFonts w:eastAsia="Arial Unicode MS"/>
          <w:sz w:val="22"/>
          <w:szCs w:val="22"/>
        </w:rPr>
        <w:tab/>
      </w:r>
      <w:r w:rsidR="00315CB8">
        <w:rPr>
          <w:rFonts w:eastAsia="Arial Unicode MS"/>
          <w:sz w:val="22"/>
          <w:szCs w:val="22"/>
        </w:rPr>
        <w:tab/>
      </w:r>
      <w:r w:rsidR="00315CB8">
        <w:rPr>
          <w:rFonts w:eastAsia="Arial Unicode MS"/>
          <w:sz w:val="22"/>
          <w:szCs w:val="22"/>
        </w:rPr>
        <w:tab/>
      </w:r>
      <w:r w:rsidR="00315CB8" w:rsidRPr="008876A4">
        <w:rPr>
          <w:rFonts w:eastAsia="Arial Unicode MS"/>
          <w:sz w:val="22"/>
          <w:szCs w:val="22"/>
        </w:rPr>
        <w:t>……………………………</w:t>
      </w:r>
    </w:p>
    <w:p w:rsidR="00315CB8" w:rsidRPr="00431669" w:rsidRDefault="00315CB8" w:rsidP="00315CB8">
      <w:pPr>
        <w:overflowPunct w:val="0"/>
        <w:autoSpaceDE w:val="0"/>
        <w:autoSpaceDN w:val="0"/>
        <w:adjustRightInd w:val="0"/>
        <w:spacing w:line="240" w:lineRule="atLeast"/>
        <w:textAlignment w:val="baseline"/>
        <w:rPr>
          <w:sz w:val="22"/>
          <w:szCs w:val="22"/>
          <w:lang w:val="x-none" w:eastAsia="x-none"/>
        </w:rPr>
      </w:pPr>
      <w:r w:rsidRPr="00431669">
        <w:rPr>
          <w:rFonts w:eastAsia="Calibri"/>
          <w:snapToGrid w:val="0"/>
          <w:sz w:val="22"/>
          <w:szCs w:val="22"/>
          <w:lang w:eastAsia="en-US"/>
        </w:rPr>
        <w:t>Ing. Petr Kulhánek, v. r.</w:t>
      </w:r>
      <w:r>
        <w:rPr>
          <w:rFonts w:eastAsia="Calibri"/>
          <w:snapToGrid w:val="0"/>
          <w:sz w:val="22"/>
          <w:szCs w:val="22"/>
          <w:lang w:eastAsia="en-US"/>
        </w:rPr>
        <w:tab/>
      </w:r>
      <w:r>
        <w:rPr>
          <w:rFonts w:eastAsia="Calibri"/>
          <w:snapToGrid w:val="0"/>
          <w:sz w:val="22"/>
          <w:szCs w:val="22"/>
          <w:lang w:eastAsia="en-US"/>
        </w:rPr>
        <w:tab/>
      </w:r>
      <w:r>
        <w:rPr>
          <w:rFonts w:eastAsia="Calibri"/>
          <w:snapToGrid w:val="0"/>
          <w:sz w:val="22"/>
          <w:szCs w:val="22"/>
          <w:lang w:eastAsia="en-US"/>
        </w:rPr>
        <w:tab/>
      </w:r>
      <w:r>
        <w:rPr>
          <w:rFonts w:eastAsia="Calibri"/>
          <w:snapToGrid w:val="0"/>
          <w:sz w:val="22"/>
          <w:szCs w:val="22"/>
          <w:lang w:eastAsia="en-US"/>
        </w:rPr>
        <w:tab/>
        <w:t>Mgr. Martina Vránová, v. r.</w:t>
      </w:r>
    </w:p>
    <w:p w:rsidR="00766EDA" w:rsidRPr="008876A4" w:rsidRDefault="00315CB8" w:rsidP="00126D1E">
      <w:pPr>
        <w:overflowPunct w:val="0"/>
        <w:autoSpaceDE w:val="0"/>
        <w:autoSpaceDN w:val="0"/>
        <w:adjustRightInd w:val="0"/>
        <w:spacing w:line="240" w:lineRule="atLeast"/>
        <w:textAlignment w:val="baseline"/>
        <w:rPr>
          <w:rFonts w:eastAsia="Arial Unicode MS"/>
          <w:sz w:val="22"/>
          <w:szCs w:val="22"/>
        </w:rPr>
      </w:pPr>
      <w:r w:rsidRPr="00431669">
        <w:rPr>
          <w:sz w:val="22"/>
          <w:szCs w:val="22"/>
          <w:lang w:val="x-none" w:eastAsia="x-none"/>
        </w:rPr>
        <w:t>hejtman Karlovarského kraje</w:t>
      </w:r>
      <w:r>
        <w:rPr>
          <w:sz w:val="22"/>
          <w:szCs w:val="22"/>
          <w:lang w:val="x-none" w:eastAsia="x-none"/>
        </w:rPr>
        <w:tab/>
      </w:r>
      <w:r>
        <w:rPr>
          <w:sz w:val="22"/>
          <w:szCs w:val="22"/>
          <w:lang w:val="x-none" w:eastAsia="x-none"/>
        </w:rPr>
        <w:tab/>
      </w:r>
      <w:r>
        <w:rPr>
          <w:sz w:val="22"/>
          <w:szCs w:val="22"/>
          <w:lang w:val="x-none" w:eastAsia="x-none"/>
        </w:rPr>
        <w:tab/>
      </w:r>
      <w:r>
        <w:rPr>
          <w:sz w:val="22"/>
          <w:szCs w:val="22"/>
          <w:lang w:val="x-none" w:eastAsia="x-none"/>
        </w:rPr>
        <w:tab/>
      </w:r>
      <w:r>
        <w:rPr>
          <w:sz w:val="22"/>
          <w:szCs w:val="22"/>
          <w:lang w:eastAsia="x-none"/>
        </w:rPr>
        <w:t>ředitelka Krajského úřadu Karlovarského kraje</w:t>
      </w:r>
    </w:p>
    <w:sectPr w:rsidR="00766EDA" w:rsidRPr="008876A4" w:rsidSect="00C93EA6">
      <w:footerReference w:type="even" r:id="rId11"/>
      <w:footerReference w:type="default" r:id="rId12"/>
      <w:headerReference w:type="first" r:id="rId13"/>
      <w:footerReference w:type="first" r:id="rId14"/>
      <w:pgSz w:w="11906" w:h="16838" w:code="9"/>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370B" w:rsidRDefault="000B370B">
      <w:r>
        <w:separator/>
      </w:r>
    </w:p>
  </w:endnote>
  <w:endnote w:type="continuationSeparator" w:id="0">
    <w:p w:rsidR="000B370B" w:rsidRDefault="000B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CB5" w:rsidRDefault="00182CB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82CB5" w:rsidRDefault="00182C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CB5" w:rsidRPr="008C1486" w:rsidRDefault="00182CB5">
    <w:pPr>
      <w:pStyle w:val="Zpat"/>
      <w:framePr w:wrap="around" w:vAnchor="text" w:hAnchor="margin" w:xAlign="center" w:y="1"/>
      <w:rPr>
        <w:rStyle w:val="slostrnky"/>
        <w:sz w:val="20"/>
        <w:szCs w:val="20"/>
      </w:rPr>
    </w:pPr>
    <w:r w:rsidRPr="008C1486">
      <w:rPr>
        <w:rStyle w:val="slostrnky"/>
        <w:sz w:val="20"/>
        <w:szCs w:val="20"/>
      </w:rPr>
      <w:fldChar w:fldCharType="begin"/>
    </w:r>
    <w:r w:rsidRPr="008C1486">
      <w:rPr>
        <w:rStyle w:val="slostrnky"/>
        <w:sz w:val="20"/>
        <w:szCs w:val="20"/>
      </w:rPr>
      <w:instrText xml:space="preserve">PAGE  </w:instrText>
    </w:r>
    <w:r w:rsidRPr="008C1486">
      <w:rPr>
        <w:rStyle w:val="slostrnky"/>
        <w:sz w:val="20"/>
        <w:szCs w:val="20"/>
      </w:rPr>
      <w:fldChar w:fldCharType="separate"/>
    </w:r>
    <w:r w:rsidR="00F340FE">
      <w:rPr>
        <w:rStyle w:val="slostrnky"/>
        <w:noProof/>
        <w:sz w:val="20"/>
        <w:szCs w:val="20"/>
      </w:rPr>
      <w:t>2</w:t>
    </w:r>
    <w:r w:rsidRPr="008C1486">
      <w:rPr>
        <w:rStyle w:val="slostrnky"/>
        <w:sz w:val="20"/>
        <w:szCs w:val="20"/>
      </w:rPr>
      <w:fldChar w:fldCharType="end"/>
    </w:r>
    <w:r w:rsidRPr="008C1486">
      <w:rPr>
        <w:rStyle w:val="slostrnky"/>
        <w:sz w:val="20"/>
        <w:szCs w:val="20"/>
      </w:rPr>
      <w:t>/</w:t>
    </w:r>
    <w:r w:rsidRPr="008C1486">
      <w:rPr>
        <w:rStyle w:val="slostrnky"/>
        <w:sz w:val="20"/>
        <w:szCs w:val="20"/>
      </w:rPr>
      <w:fldChar w:fldCharType="begin"/>
    </w:r>
    <w:r w:rsidRPr="008C1486">
      <w:rPr>
        <w:rStyle w:val="slostrnky"/>
        <w:sz w:val="20"/>
        <w:szCs w:val="20"/>
      </w:rPr>
      <w:instrText xml:space="preserve"> NUMPAGES </w:instrText>
    </w:r>
    <w:r w:rsidRPr="008C1486">
      <w:rPr>
        <w:rStyle w:val="slostrnky"/>
        <w:sz w:val="20"/>
        <w:szCs w:val="20"/>
      </w:rPr>
      <w:fldChar w:fldCharType="separate"/>
    </w:r>
    <w:r w:rsidR="00F340FE">
      <w:rPr>
        <w:rStyle w:val="slostrnky"/>
        <w:noProof/>
        <w:sz w:val="20"/>
        <w:szCs w:val="20"/>
      </w:rPr>
      <w:t>14</w:t>
    </w:r>
    <w:r w:rsidRPr="008C1486">
      <w:rPr>
        <w:rStyle w:val="slostrnky"/>
        <w:sz w:val="20"/>
        <w:szCs w:val="20"/>
      </w:rPr>
      <w:fldChar w:fldCharType="end"/>
    </w:r>
  </w:p>
  <w:p w:rsidR="00182CB5" w:rsidRDefault="00182CB5">
    <w:pPr>
      <w:pStyle w:val="Zpat"/>
      <w:tabs>
        <w:tab w:val="center" w:pos="4818"/>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CB5" w:rsidRPr="008C1486" w:rsidRDefault="00182CB5">
    <w:pPr>
      <w:pStyle w:val="Zpat"/>
      <w:tabs>
        <w:tab w:val="center" w:pos="4818"/>
      </w:tabs>
      <w:rPr>
        <w:sz w:val="20"/>
        <w:szCs w:val="20"/>
      </w:rPr>
    </w:pPr>
    <w:r>
      <w:tab/>
    </w:r>
    <w:r w:rsidRPr="008C1486">
      <w:rPr>
        <w:sz w:val="20"/>
        <w:szCs w:val="20"/>
      </w:rPr>
      <w:t>1/</w:t>
    </w:r>
    <w:r w:rsidRPr="008C1486">
      <w:rPr>
        <w:rStyle w:val="slostrnky"/>
        <w:sz w:val="20"/>
        <w:szCs w:val="20"/>
      </w:rPr>
      <w:fldChar w:fldCharType="begin"/>
    </w:r>
    <w:r w:rsidRPr="008C1486">
      <w:rPr>
        <w:rStyle w:val="slostrnky"/>
        <w:sz w:val="20"/>
        <w:szCs w:val="20"/>
      </w:rPr>
      <w:instrText xml:space="preserve"> NUMPAGES </w:instrText>
    </w:r>
    <w:r w:rsidRPr="008C1486">
      <w:rPr>
        <w:rStyle w:val="slostrnky"/>
        <w:sz w:val="20"/>
        <w:szCs w:val="20"/>
      </w:rPr>
      <w:fldChar w:fldCharType="separate"/>
    </w:r>
    <w:r w:rsidR="000B370B">
      <w:rPr>
        <w:rStyle w:val="slostrnky"/>
        <w:noProof/>
        <w:sz w:val="20"/>
        <w:szCs w:val="20"/>
      </w:rPr>
      <w:t>1</w:t>
    </w:r>
    <w:r w:rsidRPr="008C1486">
      <w:rPr>
        <w:rStyle w:val="slostrnky"/>
        <w:sz w:val="20"/>
        <w:szCs w:val="20"/>
      </w:rPr>
      <w:fldChar w:fldCharType="end"/>
    </w:r>
  </w:p>
  <w:p w:rsidR="00182CB5" w:rsidRDefault="00182CB5">
    <w:pPr>
      <w:pStyle w:val="Zpat"/>
    </w:pPr>
  </w:p>
  <w:p w:rsidR="00182CB5" w:rsidRDefault="00182CB5">
    <w:pPr>
      <w:pStyle w:val="Zpa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370B" w:rsidRDefault="000B370B">
      <w:r>
        <w:separator/>
      </w:r>
    </w:p>
  </w:footnote>
  <w:footnote w:type="continuationSeparator" w:id="0">
    <w:p w:rsidR="000B370B" w:rsidRDefault="000B370B">
      <w:r>
        <w:continuationSeparator/>
      </w:r>
    </w:p>
  </w:footnote>
  <w:footnote w:id="1">
    <w:p w:rsidR="00182CB5" w:rsidRDefault="00182CB5" w:rsidP="00766EDA">
      <w:pPr>
        <w:pStyle w:val="Textpoznpodarou"/>
      </w:pPr>
      <w:r>
        <w:rPr>
          <w:rStyle w:val="Znakapoznpodarou"/>
        </w:rPr>
        <w:footnoteRef/>
      </w:r>
      <w:r>
        <w:t xml:space="preserve"> Část jedenáctá zákoníku práce.</w:t>
      </w:r>
    </w:p>
  </w:footnote>
  <w:footnote w:id="2">
    <w:p w:rsidR="00182CB5" w:rsidRDefault="00182CB5" w:rsidP="009B28B8">
      <w:pPr>
        <w:pStyle w:val="Textpoznpodarou"/>
        <w:jc w:val="both"/>
      </w:pPr>
      <w:r>
        <w:rPr>
          <w:rStyle w:val="Znakapoznpodarou"/>
        </w:rPr>
        <w:footnoteRef/>
      </w:r>
      <w:r>
        <w:t xml:space="preserve"> Např. </w:t>
      </w:r>
      <w:r w:rsidRPr="009E6EAF">
        <w:t xml:space="preserve">§ 2894 a násl. občanského zákoníku </w:t>
      </w:r>
    </w:p>
  </w:footnote>
  <w:footnote w:id="3">
    <w:p w:rsidR="00182CB5" w:rsidRDefault="00182CB5" w:rsidP="006E573B">
      <w:pPr>
        <w:pStyle w:val="Textpoznpodarou"/>
        <w:jc w:val="both"/>
      </w:pPr>
      <w:r>
        <w:rPr>
          <w:rStyle w:val="Znakapoznpodarou"/>
        </w:rPr>
        <w:footnoteRef/>
      </w:r>
      <w:r>
        <w:t xml:space="preserve"> § 54 zákona o krajích.</w:t>
      </w:r>
    </w:p>
  </w:footnote>
  <w:footnote w:id="4">
    <w:p w:rsidR="00182CB5" w:rsidRDefault="00182CB5" w:rsidP="00766EDA">
      <w:pPr>
        <w:pStyle w:val="Textpoznpodarou"/>
      </w:pPr>
      <w:r>
        <w:rPr>
          <w:rStyle w:val="Znakapoznpodarou"/>
        </w:rPr>
        <w:footnoteRef/>
      </w:r>
      <w:r>
        <w:t xml:space="preserve">  § 22 občanského zákoníku.</w:t>
      </w:r>
    </w:p>
  </w:footnote>
  <w:footnote w:id="5">
    <w:p w:rsidR="00182CB5" w:rsidRDefault="00182CB5" w:rsidP="00766EDA">
      <w:pPr>
        <w:pStyle w:val="Textpoznpodarou"/>
      </w:pPr>
      <w:r>
        <w:rPr>
          <w:rStyle w:val="Znakapoznpodarou"/>
        </w:rPr>
        <w:footnoteRef/>
      </w:r>
      <w:r>
        <w:t xml:space="preserve"> § 250 až § 264 a § 272 až § 274a zákoníku práce.</w:t>
      </w:r>
    </w:p>
  </w:footnote>
  <w:footnote w:id="6">
    <w:p w:rsidR="00182CB5" w:rsidRDefault="00182CB5">
      <w:pPr>
        <w:pStyle w:val="Textpoznpodarou"/>
      </w:pPr>
      <w:r>
        <w:rPr>
          <w:rStyle w:val="Znakapoznpodarou"/>
        </w:rPr>
        <w:footnoteRef/>
      </w:r>
      <w:r>
        <w:t xml:space="preserve"> § </w:t>
      </w:r>
      <w:r w:rsidRPr="009E6EAF">
        <w:t>2951 a násl. občanského zákoníku.</w:t>
      </w:r>
    </w:p>
  </w:footnote>
  <w:footnote w:id="7">
    <w:p w:rsidR="00182CB5" w:rsidRDefault="00182CB5">
      <w:pPr>
        <w:pStyle w:val="Textpoznpodarou"/>
      </w:pPr>
      <w:r>
        <w:rPr>
          <w:rStyle w:val="Znakapoznpodarou"/>
        </w:rPr>
        <w:footnoteRef/>
      </w:r>
      <w:r>
        <w:t xml:space="preserve"> § 257 odst. 2 zákoníku práce.</w:t>
      </w:r>
    </w:p>
  </w:footnote>
  <w:footnote w:id="8">
    <w:p w:rsidR="00182CB5" w:rsidRDefault="00182CB5" w:rsidP="00F3189F">
      <w:pPr>
        <w:pStyle w:val="Textpoznpodarou"/>
        <w:jc w:val="both"/>
      </w:pPr>
      <w:r>
        <w:rPr>
          <w:rStyle w:val="Znakapoznpodarou"/>
        </w:rPr>
        <w:footnoteRef/>
      </w:r>
      <w:r>
        <w:t xml:space="preserve">Článek II. předpisu rady kraje č. PR 01/2018 Pro řízení projektů financovaných ze strukturálních fondů Evropské unie a z jiných evropských finančních zdrojů a článek II. předpisu Rady kraje č. PR </w:t>
      </w:r>
      <w:r w:rsidRPr="00BE3C7D">
        <w:t>02/2021 Pro řízení projektů financovaných z národních dotačních titulů.</w:t>
      </w:r>
    </w:p>
  </w:footnote>
  <w:footnote w:id="9">
    <w:p w:rsidR="00182CB5" w:rsidRDefault="00182CB5" w:rsidP="00D85663">
      <w:pPr>
        <w:pStyle w:val="Textpoznpodarou"/>
        <w:jc w:val="both"/>
      </w:pPr>
      <w:r>
        <w:rPr>
          <w:rStyle w:val="Znakapoznpodarou"/>
        </w:rPr>
        <w:footnoteRef/>
      </w:r>
      <w:r>
        <w:t xml:space="preserve">Článek II. předpisu rady kraje č. PR 01/2018 Pro řízení projektů financovaných ze strukturálních fondů Evropské unie a z jiných evropských finančních zdrojů a článek II. předpisu Rady kraje č. PR </w:t>
      </w:r>
      <w:r w:rsidRPr="00BE3C7D">
        <w:t>02/2021</w:t>
      </w:r>
      <w:r>
        <w:t xml:space="preserve"> Pro řízení projektů financovaných z národních dotačních titulů.</w:t>
      </w:r>
    </w:p>
  </w:footnote>
  <w:footnote w:id="10">
    <w:p w:rsidR="00182CB5" w:rsidRDefault="00182CB5" w:rsidP="00766EDA">
      <w:pPr>
        <w:pStyle w:val="Textpoznpodarou"/>
      </w:pPr>
      <w:r>
        <w:rPr>
          <w:rStyle w:val="Znakapoznpodarou"/>
        </w:rPr>
        <w:footnoteRef/>
      </w:r>
      <w:r>
        <w:t xml:space="preserve"> § 262 zákoníku práce.</w:t>
      </w:r>
    </w:p>
  </w:footnote>
  <w:footnote w:id="11">
    <w:p w:rsidR="00182CB5" w:rsidRDefault="00182CB5">
      <w:pPr>
        <w:pStyle w:val="Textpoznpodarou"/>
      </w:pPr>
      <w:r>
        <w:rPr>
          <w:rStyle w:val="Znakapoznpodarou"/>
        </w:rPr>
        <w:footnoteRef/>
      </w:r>
      <w:r>
        <w:t xml:space="preserve"> § 250 odst. 1 zákoníku práce.</w:t>
      </w:r>
    </w:p>
  </w:footnote>
  <w:footnote w:id="12">
    <w:p w:rsidR="00182CB5" w:rsidRDefault="00182CB5" w:rsidP="00B660BB">
      <w:pPr>
        <w:pStyle w:val="Textpoznpodarou"/>
      </w:pPr>
      <w:r>
        <w:rPr>
          <w:rStyle w:val="Znakapoznpodarou"/>
        </w:rPr>
        <w:footnoteRef/>
      </w:r>
      <w:r>
        <w:t xml:space="preserve"> § 255 zákoníku práce.</w:t>
      </w:r>
    </w:p>
  </w:footnote>
  <w:footnote w:id="13">
    <w:p w:rsidR="00182CB5" w:rsidRDefault="00182CB5">
      <w:pPr>
        <w:pStyle w:val="Textpoznpodarou"/>
      </w:pPr>
      <w:r>
        <w:rPr>
          <w:rStyle w:val="Znakapoznpodarou"/>
        </w:rPr>
        <w:footnoteRef/>
      </w:r>
      <w:r>
        <w:t xml:space="preserve"> § 252 zákoníku práce.</w:t>
      </w:r>
    </w:p>
  </w:footnote>
  <w:footnote w:id="14">
    <w:p w:rsidR="00182CB5" w:rsidRDefault="00182CB5">
      <w:pPr>
        <w:pStyle w:val="Textpoznpodarou"/>
      </w:pPr>
      <w:r>
        <w:rPr>
          <w:rStyle w:val="Znakapoznpodarou"/>
        </w:rPr>
        <w:footnoteRef/>
      </w:r>
      <w:r>
        <w:t xml:space="preserve"> § 263 zákoníku práce.</w:t>
      </w:r>
    </w:p>
  </w:footnote>
  <w:footnote w:id="15">
    <w:p w:rsidR="00182CB5" w:rsidRDefault="00182CB5" w:rsidP="00766EDA">
      <w:pPr>
        <w:pStyle w:val="Textpoznpodarou"/>
        <w:jc w:val="both"/>
      </w:pPr>
      <w:r>
        <w:rPr>
          <w:rStyle w:val="Znakapoznpodarou"/>
        </w:rPr>
        <w:footnoteRef/>
      </w:r>
      <w:r>
        <w:t xml:space="preserve"> Článek XXVII. předpisu Rady kraje č. PR 01/2018 a článek XXII. předpisu Rady kraje č. PR 03/2017 Pro řízení projektů financovaných z národních dotačních titulů.</w:t>
      </w:r>
    </w:p>
  </w:footnote>
  <w:footnote w:id="16">
    <w:p w:rsidR="00182CB5" w:rsidRDefault="00182CB5" w:rsidP="00766EDA">
      <w:pPr>
        <w:pStyle w:val="Textpoznpodarou"/>
      </w:pPr>
      <w:r>
        <w:rPr>
          <w:rStyle w:val="Znakapoznpodarou"/>
        </w:rPr>
        <w:footnoteRef/>
      </w:r>
      <w:r>
        <w:t xml:space="preserve"> § 22 občanského zákoníku.</w:t>
      </w:r>
    </w:p>
  </w:footnote>
  <w:footnote w:id="17">
    <w:p w:rsidR="00182CB5" w:rsidRDefault="00182CB5">
      <w:pPr>
        <w:pStyle w:val="Textpoznpodarou"/>
      </w:pPr>
      <w:r>
        <w:rPr>
          <w:rStyle w:val="Znakapoznpodarou"/>
        </w:rPr>
        <w:footnoteRef/>
      </w:r>
      <w:r>
        <w:t xml:space="preserve"> </w:t>
      </w:r>
      <w:r w:rsidRPr="0018781F">
        <w:t>§ 250 odst. 1 zákoníku práce</w:t>
      </w:r>
      <w:r>
        <w:t>.</w:t>
      </w:r>
    </w:p>
  </w:footnote>
  <w:footnote w:id="18">
    <w:p w:rsidR="00182CB5" w:rsidRDefault="00182CB5" w:rsidP="0018781F">
      <w:pPr>
        <w:pStyle w:val="Textpoznpodarou"/>
      </w:pPr>
      <w:r>
        <w:rPr>
          <w:rStyle w:val="Znakapoznpodarou"/>
        </w:rPr>
        <w:footnoteRef/>
      </w:r>
      <w:r>
        <w:t xml:space="preserve"> § 255 zákoníku práce.</w:t>
      </w:r>
    </w:p>
  </w:footnote>
  <w:footnote w:id="19">
    <w:p w:rsidR="00182CB5" w:rsidRDefault="00182CB5" w:rsidP="0018781F">
      <w:pPr>
        <w:pStyle w:val="Textpoznpodarou"/>
      </w:pPr>
      <w:r>
        <w:rPr>
          <w:rStyle w:val="Znakapoznpodarou"/>
        </w:rPr>
        <w:footnoteRef/>
      </w:r>
      <w:r>
        <w:t xml:space="preserve"> § 252 zákoníku práce.</w:t>
      </w:r>
    </w:p>
  </w:footnote>
  <w:footnote w:id="20">
    <w:p w:rsidR="00182CB5" w:rsidRDefault="00182CB5" w:rsidP="000C4577">
      <w:pPr>
        <w:pStyle w:val="Textpoznpodarou"/>
        <w:jc w:val="both"/>
      </w:pPr>
      <w:r>
        <w:rPr>
          <w:rStyle w:val="Znakapoznpodarou"/>
        </w:rPr>
        <w:footnoteRef/>
      </w:r>
      <w:r>
        <w:t xml:space="preserve"> Jde např. o škody způsobené Karlovarskému kraji členy zastupitelstva kraje v době mimo výkon funkce, škody způsobené externími subjekty např. zhotoviteli díla, administrátory veřejných zakázek, apod.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2CB5" w:rsidRDefault="00182CB5">
    <w:pPr>
      <w:pStyle w:val="Nadpis2"/>
      <w:jc w:val="center"/>
      <w:rPr>
        <w:rFonts w:ascii="Arial Black" w:hAnsi="Arial Black"/>
        <w:sz w:val="36"/>
      </w:rPr>
    </w:pPr>
    <w:r>
      <w:rPr>
        <w:rFonts w:ascii="Arial Black" w:hAnsi="Arial Black"/>
        <w:sz w:val="36"/>
      </w:rPr>
      <w:t>KARLOVARSKÝ KRAJ</w:t>
    </w:r>
  </w:p>
  <w:p w:rsidR="00182CB5" w:rsidRDefault="008D2B56">
    <w:pPr>
      <w:pStyle w:val="Zhlav"/>
      <w:jc w:val="center"/>
    </w:pPr>
    <w:r>
      <w:rPr>
        <w:rFonts w:ascii="Arial Black" w:hAnsi="Arial Black"/>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242570</wp:posOffset>
              </wp:positionV>
              <wp:extent cx="6120130" cy="0"/>
              <wp:effectExtent l="9525" t="13970" r="13970"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2E20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1pt" to="481.9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" o:allowincell="f"/>
          </w:pict>
        </mc:Fallback>
      </mc:AlternateContent>
    </w:r>
    <w:r w:rsidR="00182CB5">
      <w:rPr>
        <w:rFonts w:ascii="Arial Black" w:hAnsi="Arial Black"/>
      </w:rPr>
      <w:t>RADA KRAJE, HEJTMAN KRAJE, ŘEDITELKA KRAJSKÉHO ÚŘADU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E9D"/>
    <w:multiLevelType w:val="hybridMultilevel"/>
    <w:tmpl w:val="F0F8D8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7E56C7"/>
    <w:multiLevelType w:val="hybridMultilevel"/>
    <w:tmpl w:val="D27C6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F6944"/>
    <w:multiLevelType w:val="hybridMultilevel"/>
    <w:tmpl w:val="53D68E30"/>
    <w:lvl w:ilvl="0" w:tplc="0D5E4964">
      <w:start w:val="1"/>
      <w:numFmt w:val="lowerLetter"/>
      <w:lvlText w:val="%1)"/>
      <w:lvlJc w:val="left"/>
      <w:pPr>
        <w:tabs>
          <w:tab w:val="num" w:pos="700"/>
        </w:tabs>
        <w:ind w:left="680" w:hanging="340"/>
      </w:pPr>
      <w:rPr>
        <w:b w:val="0"/>
        <w:i w:val="0"/>
      </w:rPr>
    </w:lvl>
    <w:lvl w:ilvl="1" w:tplc="04050019">
      <w:start w:val="1"/>
      <w:numFmt w:val="lowerLetter"/>
      <w:lvlText w:val="%2."/>
      <w:lvlJc w:val="left"/>
      <w:pPr>
        <w:tabs>
          <w:tab w:val="num" w:pos="1780"/>
        </w:tabs>
        <w:ind w:left="17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205100DD"/>
    <w:multiLevelType w:val="multilevel"/>
    <w:tmpl w:val="F82C655A"/>
    <w:numStyleLink w:val="Pedpisy97"/>
  </w:abstractNum>
  <w:abstractNum w:abstractNumId="4" w15:restartNumberingAfterBreak="0">
    <w:nsid w:val="23A22D30"/>
    <w:multiLevelType w:val="multilevel"/>
    <w:tmpl w:val="11B010B8"/>
    <w:numStyleLink w:val="Mj"/>
  </w:abstractNum>
  <w:abstractNum w:abstractNumId="5" w15:restartNumberingAfterBreak="0">
    <w:nsid w:val="27326D31"/>
    <w:multiLevelType w:val="hybridMultilevel"/>
    <w:tmpl w:val="56C07DAE"/>
    <w:lvl w:ilvl="0" w:tplc="0A363422">
      <w:start w:val="1"/>
      <w:numFmt w:val="decimal"/>
      <w:lvlText w:val="%1."/>
      <w:lvlJc w:val="left"/>
      <w:pPr>
        <w:tabs>
          <w:tab w:val="num" w:pos="360"/>
        </w:tabs>
        <w:ind w:left="340" w:hanging="340"/>
      </w:pPr>
      <w:rPr>
        <w:b w:val="0"/>
        <w:i w:val="0"/>
      </w:rPr>
    </w:lvl>
    <w:lvl w:ilvl="1" w:tplc="1CAC6C02">
      <w:numFmt w:val="bullet"/>
      <w:lvlText w:val=""/>
      <w:lvlJc w:val="left"/>
      <w:pPr>
        <w:tabs>
          <w:tab w:val="num" w:pos="1440"/>
        </w:tabs>
        <w:ind w:left="1440" w:hanging="360"/>
      </w:pPr>
      <w:rPr>
        <w:rFonts w:ascii="Symbol" w:eastAsia="Times New Roman" w:hAnsi="Symbol"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56A6824"/>
    <w:multiLevelType w:val="multilevel"/>
    <w:tmpl w:val="F82C655A"/>
    <w:numStyleLink w:val="Pedpisy97"/>
  </w:abstractNum>
  <w:abstractNum w:abstractNumId="8" w15:restartNumberingAfterBreak="0">
    <w:nsid w:val="479B5909"/>
    <w:multiLevelType w:val="multilevel"/>
    <w:tmpl w:val="F82C655A"/>
    <w:numStyleLink w:val="Pedpisy97"/>
  </w:abstractNum>
  <w:abstractNum w:abstractNumId="9" w15:restartNumberingAfterBreak="0">
    <w:nsid w:val="4F720327"/>
    <w:multiLevelType w:val="hybridMultilevel"/>
    <w:tmpl w:val="3154BB4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B51748B"/>
    <w:multiLevelType w:val="multilevel"/>
    <w:tmpl w:val="11B010B8"/>
    <w:styleLink w:val="Mj"/>
    <w:lvl w:ilvl="0">
      <w:start w:val="1"/>
      <w:numFmt w:val="decimal"/>
      <w:lvlText w:val="%1."/>
      <w:lvlJc w:val="left"/>
      <w:pPr>
        <w:ind w:left="397" w:hanging="397"/>
      </w:pPr>
      <w:rPr>
        <w:rFonts w:hint="default"/>
        <w:b w:val="0"/>
        <w:i w:val="0"/>
        <w:caps w:val="0"/>
        <w:strike w:val="0"/>
        <w:dstrike w:val="0"/>
        <w:vanish w:val="0"/>
        <w:color w:val="auto"/>
        <w:sz w:val="24"/>
        <w:szCs w:val="24"/>
        <w:vertAlign w:val="baseline"/>
      </w:rPr>
    </w:lvl>
    <w:lvl w:ilvl="1">
      <w:start w:val="1"/>
      <w:numFmt w:val="lowerLetter"/>
      <w:lvlText w:val="%2)"/>
      <w:lvlJc w:val="left"/>
      <w:pPr>
        <w:ind w:left="794" w:hanging="397"/>
      </w:pPr>
      <w:rPr>
        <w:rFonts w:hint="default"/>
      </w:rPr>
    </w:lvl>
    <w:lvl w:ilvl="2">
      <w:start w:val="1"/>
      <w:numFmt w:val="bullet"/>
      <w:lvlText w:val=""/>
      <w:lvlJc w:val="left"/>
      <w:pPr>
        <w:tabs>
          <w:tab w:val="num" w:pos="1191"/>
        </w:tabs>
        <w:ind w:left="1191" w:hanging="397"/>
      </w:pPr>
      <w:rPr>
        <w:rFonts w:ascii="Symbol" w:hAnsi="Symbol" w:hint="default"/>
        <w:color w:val="auto"/>
      </w:rPr>
    </w:lvl>
    <w:lvl w:ilvl="3">
      <w:start w:val="1"/>
      <w:numFmt w:val="lowerRoman"/>
      <w:lvlText w:val="%4."/>
      <w:lvlJc w:val="left"/>
      <w:pPr>
        <w:ind w:left="1588" w:hanging="397"/>
      </w:pPr>
      <w:rPr>
        <w:rFonts w:hint="default"/>
      </w:rPr>
    </w:lvl>
    <w:lvl w:ilvl="4">
      <w:start w:val="1"/>
      <w:numFmt w:val="lowerLetter"/>
      <w:lvlText w:val="%5."/>
      <w:lvlJc w:val="left"/>
      <w:pPr>
        <w:tabs>
          <w:tab w:val="num" w:pos="5188"/>
        </w:tabs>
        <w:ind w:left="5188" w:hanging="360"/>
      </w:pPr>
      <w:rPr>
        <w:rFonts w:hint="default"/>
      </w:rPr>
    </w:lvl>
    <w:lvl w:ilvl="5">
      <w:start w:val="1"/>
      <w:numFmt w:val="lowerRoman"/>
      <w:lvlText w:val="%6."/>
      <w:lvlJc w:val="right"/>
      <w:pPr>
        <w:tabs>
          <w:tab w:val="num" w:pos="5908"/>
        </w:tabs>
        <w:ind w:left="5908" w:hanging="180"/>
      </w:pPr>
      <w:rPr>
        <w:rFonts w:hint="default"/>
      </w:rPr>
    </w:lvl>
    <w:lvl w:ilvl="6">
      <w:start w:val="1"/>
      <w:numFmt w:val="decimal"/>
      <w:lvlText w:val="%7."/>
      <w:lvlJc w:val="left"/>
      <w:pPr>
        <w:tabs>
          <w:tab w:val="num" w:pos="6628"/>
        </w:tabs>
        <w:ind w:left="6628" w:hanging="360"/>
      </w:pPr>
      <w:rPr>
        <w:rFonts w:hint="default"/>
      </w:rPr>
    </w:lvl>
    <w:lvl w:ilvl="7">
      <w:start w:val="1"/>
      <w:numFmt w:val="lowerLetter"/>
      <w:lvlText w:val="%8."/>
      <w:lvlJc w:val="left"/>
      <w:pPr>
        <w:tabs>
          <w:tab w:val="num" w:pos="7348"/>
        </w:tabs>
        <w:ind w:left="7348" w:hanging="360"/>
      </w:pPr>
      <w:rPr>
        <w:rFonts w:hint="default"/>
      </w:rPr>
    </w:lvl>
    <w:lvl w:ilvl="8">
      <w:start w:val="1"/>
      <w:numFmt w:val="lowerRoman"/>
      <w:lvlText w:val="%9."/>
      <w:lvlJc w:val="right"/>
      <w:pPr>
        <w:tabs>
          <w:tab w:val="num" w:pos="8068"/>
        </w:tabs>
        <w:ind w:left="8068" w:hanging="180"/>
      </w:pPr>
      <w:rPr>
        <w:rFonts w:hint="default"/>
      </w:rPr>
    </w:lvl>
  </w:abstractNum>
  <w:abstractNum w:abstractNumId="11" w15:restartNumberingAfterBreak="0">
    <w:nsid w:val="5B5767A8"/>
    <w:multiLevelType w:val="multilevel"/>
    <w:tmpl w:val="EB12C802"/>
    <w:lvl w:ilvl="0">
      <w:start w:val="1"/>
      <w:numFmt w:val="decimal"/>
      <w:lvlText w:val="%1."/>
      <w:lvlJc w:val="left"/>
      <w:pPr>
        <w:ind w:left="397" w:hanging="397"/>
      </w:pPr>
      <w:rPr>
        <w:rFonts w:hint="default"/>
      </w:rPr>
    </w:lvl>
    <w:lvl w:ilvl="1">
      <w:start w:val="1"/>
      <w:numFmt w:val="decimal"/>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DC64139"/>
    <w:multiLevelType w:val="hybridMultilevel"/>
    <w:tmpl w:val="4E4403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BA523A"/>
    <w:multiLevelType w:val="multilevel"/>
    <w:tmpl w:val="F82C655A"/>
    <w:numStyleLink w:val="Pedpisy97"/>
  </w:abstractNum>
  <w:abstractNum w:abstractNumId="14" w15:restartNumberingAfterBreak="0">
    <w:nsid w:val="63905CB8"/>
    <w:multiLevelType w:val="multilevel"/>
    <w:tmpl w:val="F82C655A"/>
    <w:numStyleLink w:val="Pedpisy97"/>
  </w:abstractNum>
  <w:abstractNum w:abstractNumId="15" w15:restartNumberingAfterBreak="0">
    <w:nsid w:val="66757146"/>
    <w:multiLevelType w:val="hybridMultilevel"/>
    <w:tmpl w:val="C44C2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E0C12C3"/>
    <w:multiLevelType w:val="hybridMultilevel"/>
    <w:tmpl w:val="0936C534"/>
    <w:lvl w:ilvl="0" w:tplc="0405000F">
      <w:start w:val="1"/>
      <w:numFmt w:val="decimal"/>
      <w:lvlText w:val="%1."/>
      <w:lvlJc w:val="left"/>
      <w:pPr>
        <w:ind w:left="9999"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48553092">
    <w:abstractNumId w:val="10"/>
  </w:num>
  <w:num w:numId="2" w16cid:durableId="1693341964">
    <w:abstractNumId w:val="6"/>
  </w:num>
  <w:num w:numId="3" w16cid:durableId="1486506427">
    <w:abstractNumId w:val="7"/>
  </w:num>
  <w:num w:numId="4" w16cid:durableId="1629506318">
    <w:abstractNumId w:val="13"/>
    <w:lvlOverride w:ilvl="0">
      <w:lvl w:ilvl="0">
        <w:start w:val="1"/>
        <w:numFmt w:val="decimal"/>
        <w:lvlText w:val="%1."/>
        <w:lvlJc w:val="left"/>
        <w:pPr>
          <w:ind w:left="397" w:hanging="397"/>
        </w:pPr>
        <w:rPr>
          <w:rFonts w:hint="default"/>
          <w:i w:val="0"/>
        </w:rPr>
      </w:lvl>
    </w:lvlOverride>
  </w:num>
  <w:num w:numId="5" w16cid:durableId="441919616">
    <w:abstractNumId w:val="3"/>
  </w:num>
  <w:num w:numId="6" w16cid:durableId="6519784">
    <w:abstractNumId w:val="8"/>
  </w:num>
  <w:num w:numId="7" w16cid:durableId="1327325198">
    <w:abstractNumId w:val="11"/>
  </w:num>
  <w:num w:numId="8" w16cid:durableId="10955190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05971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3020746">
    <w:abstractNumId w:val="14"/>
  </w:num>
  <w:num w:numId="11" w16cid:durableId="1914776275">
    <w:abstractNumId w:val="16"/>
  </w:num>
  <w:num w:numId="12" w16cid:durableId="727533933">
    <w:abstractNumId w:val="9"/>
  </w:num>
  <w:num w:numId="13" w16cid:durableId="677540487">
    <w:abstractNumId w:val="4"/>
  </w:num>
  <w:num w:numId="14" w16cid:durableId="228324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7073708">
    <w:abstractNumId w:val="12"/>
  </w:num>
  <w:num w:numId="16" w16cid:durableId="129632392">
    <w:abstractNumId w:val="0"/>
  </w:num>
  <w:num w:numId="17" w16cid:durableId="1975325663">
    <w:abstractNumId w:val="1"/>
  </w:num>
  <w:num w:numId="18" w16cid:durableId="1731116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CC"/>
    <w:rsid w:val="00001CFB"/>
    <w:rsid w:val="00005C7F"/>
    <w:rsid w:val="00007364"/>
    <w:rsid w:val="00011775"/>
    <w:rsid w:val="000130EA"/>
    <w:rsid w:val="00013C89"/>
    <w:rsid w:val="00015110"/>
    <w:rsid w:val="00016AB8"/>
    <w:rsid w:val="000222E7"/>
    <w:rsid w:val="00026849"/>
    <w:rsid w:val="00030A8A"/>
    <w:rsid w:val="00031CDB"/>
    <w:rsid w:val="00032AA8"/>
    <w:rsid w:val="00036980"/>
    <w:rsid w:val="00052A7F"/>
    <w:rsid w:val="000562C3"/>
    <w:rsid w:val="00056972"/>
    <w:rsid w:val="00057E32"/>
    <w:rsid w:val="00061B66"/>
    <w:rsid w:val="00062E65"/>
    <w:rsid w:val="00072983"/>
    <w:rsid w:val="00076DB3"/>
    <w:rsid w:val="00076F8D"/>
    <w:rsid w:val="00091840"/>
    <w:rsid w:val="000B1F8C"/>
    <w:rsid w:val="000B370B"/>
    <w:rsid w:val="000B3EBA"/>
    <w:rsid w:val="000C1653"/>
    <w:rsid w:val="000C4577"/>
    <w:rsid w:val="000D16E5"/>
    <w:rsid w:val="000D5ABB"/>
    <w:rsid w:val="000E1FC9"/>
    <w:rsid w:val="000E22DF"/>
    <w:rsid w:val="000E38DA"/>
    <w:rsid w:val="000F4FA2"/>
    <w:rsid w:val="000F5B7F"/>
    <w:rsid w:val="000F7221"/>
    <w:rsid w:val="000F7620"/>
    <w:rsid w:val="00101667"/>
    <w:rsid w:val="0011726B"/>
    <w:rsid w:val="00121C4A"/>
    <w:rsid w:val="00121F75"/>
    <w:rsid w:val="00123120"/>
    <w:rsid w:val="00126D1E"/>
    <w:rsid w:val="00131729"/>
    <w:rsid w:val="00152A1F"/>
    <w:rsid w:val="00162FD0"/>
    <w:rsid w:val="00163FEF"/>
    <w:rsid w:val="00167DE8"/>
    <w:rsid w:val="00170536"/>
    <w:rsid w:val="00182CB5"/>
    <w:rsid w:val="00183049"/>
    <w:rsid w:val="0018781F"/>
    <w:rsid w:val="00191BD3"/>
    <w:rsid w:val="001A55F0"/>
    <w:rsid w:val="001A5A70"/>
    <w:rsid w:val="001B0C84"/>
    <w:rsid w:val="001C579E"/>
    <w:rsid w:val="001D10C0"/>
    <w:rsid w:val="001E41A0"/>
    <w:rsid w:val="001E7FE9"/>
    <w:rsid w:val="001F64A4"/>
    <w:rsid w:val="00204000"/>
    <w:rsid w:val="002049FA"/>
    <w:rsid w:val="00207806"/>
    <w:rsid w:val="002170D1"/>
    <w:rsid w:val="0022041A"/>
    <w:rsid w:val="00220B5E"/>
    <w:rsid w:val="00221C03"/>
    <w:rsid w:val="00223E16"/>
    <w:rsid w:val="002279E9"/>
    <w:rsid w:val="00237AF6"/>
    <w:rsid w:val="002414DE"/>
    <w:rsid w:val="002424FF"/>
    <w:rsid w:val="00245450"/>
    <w:rsid w:val="00251B1C"/>
    <w:rsid w:val="00256E5A"/>
    <w:rsid w:val="002629DE"/>
    <w:rsid w:val="00275153"/>
    <w:rsid w:val="00277137"/>
    <w:rsid w:val="00285D99"/>
    <w:rsid w:val="00290613"/>
    <w:rsid w:val="002A0EE2"/>
    <w:rsid w:val="002A6586"/>
    <w:rsid w:val="002A7B59"/>
    <w:rsid w:val="002B0B3B"/>
    <w:rsid w:val="002C6472"/>
    <w:rsid w:val="00300B6D"/>
    <w:rsid w:val="00305B93"/>
    <w:rsid w:val="00315243"/>
    <w:rsid w:val="00315CB8"/>
    <w:rsid w:val="00321F04"/>
    <w:rsid w:val="003407ED"/>
    <w:rsid w:val="00361F6B"/>
    <w:rsid w:val="0036339F"/>
    <w:rsid w:val="0036587B"/>
    <w:rsid w:val="0037414A"/>
    <w:rsid w:val="00374943"/>
    <w:rsid w:val="0037763C"/>
    <w:rsid w:val="00380B9B"/>
    <w:rsid w:val="00383609"/>
    <w:rsid w:val="003907C1"/>
    <w:rsid w:val="00395093"/>
    <w:rsid w:val="003B06AD"/>
    <w:rsid w:val="003B71EE"/>
    <w:rsid w:val="003C2038"/>
    <w:rsid w:val="003C5DA9"/>
    <w:rsid w:val="003D3CC7"/>
    <w:rsid w:val="003E7DDB"/>
    <w:rsid w:val="003F0497"/>
    <w:rsid w:val="003F1DED"/>
    <w:rsid w:val="003F2866"/>
    <w:rsid w:val="003F3169"/>
    <w:rsid w:val="003F5EDE"/>
    <w:rsid w:val="00401AD0"/>
    <w:rsid w:val="004120A9"/>
    <w:rsid w:val="004133E3"/>
    <w:rsid w:val="00431146"/>
    <w:rsid w:val="00431669"/>
    <w:rsid w:val="00434269"/>
    <w:rsid w:val="00434A07"/>
    <w:rsid w:val="00441D51"/>
    <w:rsid w:val="00455C3E"/>
    <w:rsid w:val="00465F37"/>
    <w:rsid w:val="00470668"/>
    <w:rsid w:val="00474C1B"/>
    <w:rsid w:val="00494AC4"/>
    <w:rsid w:val="004A0940"/>
    <w:rsid w:val="004A48A7"/>
    <w:rsid w:val="004B0599"/>
    <w:rsid w:val="004B1C3E"/>
    <w:rsid w:val="004C4E5C"/>
    <w:rsid w:val="004C7389"/>
    <w:rsid w:val="004D2986"/>
    <w:rsid w:val="004E25CE"/>
    <w:rsid w:val="004E309D"/>
    <w:rsid w:val="004F4527"/>
    <w:rsid w:val="005062F5"/>
    <w:rsid w:val="0051141B"/>
    <w:rsid w:val="00513CFB"/>
    <w:rsid w:val="00517792"/>
    <w:rsid w:val="0052430D"/>
    <w:rsid w:val="00527E48"/>
    <w:rsid w:val="00530ED7"/>
    <w:rsid w:val="00534D48"/>
    <w:rsid w:val="005506C2"/>
    <w:rsid w:val="005539AB"/>
    <w:rsid w:val="00555F96"/>
    <w:rsid w:val="00556103"/>
    <w:rsid w:val="0057299E"/>
    <w:rsid w:val="00575C72"/>
    <w:rsid w:val="00586933"/>
    <w:rsid w:val="00593278"/>
    <w:rsid w:val="0059676D"/>
    <w:rsid w:val="00597386"/>
    <w:rsid w:val="005A00FD"/>
    <w:rsid w:val="005A31EC"/>
    <w:rsid w:val="005A3866"/>
    <w:rsid w:val="005A500A"/>
    <w:rsid w:val="005B0B13"/>
    <w:rsid w:val="005B181D"/>
    <w:rsid w:val="005C08FC"/>
    <w:rsid w:val="005C3681"/>
    <w:rsid w:val="005C67D2"/>
    <w:rsid w:val="005E2456"/>
    <w:rsid w:val="005E3D64"/>
    <w:rsid w:val="005F44CB"/>
    <w:rsid w:val="005F6513"/>
    <w:rsid w:val="00600B2C"/>
    <w:rsid w:val="00601D8F"/>
    <w:rsid w:val="00604258"/>
    <w:rsid w:val="00616405"/>
    <w:rsid w:val="006230BE"/>
    <w:rsid w:val="006313EA"/>
    <w:rsid w:val="00643093"/>
    <w:rsid w:val="0065293B"/>
    <w:rsid w:val="00654B3B"/>
    <w:rsid w:val="00657808"/>
    <w:rsid w:val="00674DAC"/>
    <w:rsid w:val="006811F3"/>
    <w:rsid w:val="00681AE0"/>
    <w:rsid w:val="0068385A"/>
    <w:rsid w:val="006840D5"/>
    <w:rsid w:val="006B6662"/>
    <w:rsid w:val="006C40D4"/>
    <w:rsid w:val="006D68C9"/>
    <w:rsid w:val="006D7A03"/>
    <w:rsid w:val="006E44A3"/>
    <w:rsid w:val="006E4F74"/>
    <w:rsid w:val="006E573B"/>
    <w:rsid w:val="006F14C6"/>
    <w:rsid w:val="006F4137"/>
    <w:rsid w:val="0070296F"/>
    <w:rsid w:val="0070791C"/>
    <w:rsid w:val="00711B99"/>
    <w:rsid w:val="00712CB6"/>
    <w:rsid w:val="00714169"/>
    <w:rsid w:val="007157D8"/>
    <w:rsid w:val="00717078"/>
    <w:rsid w:val="00717AB8"/>
    <w:rsid w:val="00720B89"/>
    <w:rsid w:val="0073082A"/>
    <w:rsid w:val="00730BFA"/>
    <w:rsid w:val="00734939"/>
    <w:rsid w:val="00734E4F"/>
    <w:rsid w:val="00742E39"/>
    <w:rsid w:val="0075364E"/>
    <w:rsid w:val="007557CC"/>
    <w:rsid w:val="00756DA8"/>
    <w:rsid w:val="0076463F"/>
    <w:rsid w:val="00766EDA"/>
    <w:rsid w:val="00770AD1"/>
    <w:rsid w:val="00787DF8"/>
    <w:rsid w:val="00791B7B"/>
    <w:rsid w:val="007B13BB"/>
    <w:rsid w:val="007C3493"/>
    <w:rsid w:val="007C4FA6"/>
    <w:rsid w:val="007D29F7"/>
    <w:rsid w:val="007D37CB"/>
    <w:rsid w:val="007E2460"/>
    <w:rsid w:val="007F501C"/>
    <w:rsid w:val="007F6A36"/>
    <w:rsid w:val="007F7DF6"/>
    <w:rsid w:val="00807160"/>
    <w:rsid w:val="008133B9"/>
    <w:rsid w:val="00822581"/>
    <w:rsid w:val="008370CA"/>
    <w:rsid w:val="008421A6"/>
    <w:rsid w:val="0084231E"/>
    <w:rsid w:val="00850753"/>
    <w:rsid w:val="00872128"/>
    <w:rsid w:val="00872316"/>
    <w:rsid w:val="00875274"/>
    <w:rsid w:val="00875509"/>
    <w:rsid w:val="0088793B"/>
    <w:rsid w:val="00887ADF"/>
    <w:rsid w:val="0089052C"/>
    <w:rsid w:val="008953A9"/>
    <w:rsid w:val="00896257"/>
    <w:rsid w:val="008A0230"/>
    <w:rsid w:val="008A03CB"/>
    <w:rsid w:val="008A3FDB"/>
    <w:rsid w:val="008A4424"/>
    <w:rsid w:val="008B4F5B"/>
    <w:rsid w:val="008C5796"/>
    <w:rsid w:val="008C6194"/>
    <w:rsid w:val="008C6CB7"/>
    <w:rsid w:val="008D2B56"/>
    <w:rsid w:val="008E3A98"/>
    <w:rsid w:val="008E7777"/>
    <w:rsid w:val="008F2D1B"/>
    <w:rsid w:val="00903FBC"/>
    <w:rsid w:val="009041A6"/>
    <w:rsid w:val="0091599F"/>
    <w:rsid w:val="00915D01"/>
    <w:rsid w:val="00921F89"/>
    <w:rsid w:val="00922677"/>
    <w:rsid w:val="0093387B"/>
    <w:rsid w:val="00940A8F"/>
    <w:rsid w:val="00941557"/>
    <w:rsid w:val="00943EC7"/>
    <w:rsid w:val="00951A19"/>
    <w:rsid w:val="00954272"/>
    <w:rsid w:val="009547CC"/>
    <w:rsid w:val="00957EC7"/>
    <w:rsid w:val="0096340E"/>
    <w:rsid w:val="009722D7"/>
    <w:rsid w:val="00974F6D"/>
    <w:rsid w:val="009761B2"/>
    <w:rsid w:val="00977667"/>
    <w:rsid w:val="009929D4"/>
    <w:rsid w:val="009935F7"/>
    <w:rsid w:val="00996772"/>
    <w:rsid w:val="009A1438"/>
    <w:rsid w:val="009B28B8"/>
    <w:rsid w:val="009B702E"/>
    <w:rsid w:val="009B7627"/>
    <w:rsid w:val="009B7B88"/>
    <w:rsid w:val="009D5A10"/>
    <w:rsid w:val="009E61DD"/>
    <w:rsid w:val="009E6EAF"/>
    <w:rsid w:val="009E7590"/>
    <w:rsid w:val="009F0103"/>
    <w:rsid w:val="009F29F0"/>
    <w:rsid w:val="009F3EE9"/>
    <w:rsid w:val="009F4DDC"/>
    <w:rsid w:val="009F758A"/>
    <w:rsid w:val="009F7CE7"/>
    <w:rsid w:val="00A1136C"/>
    <w:rsid w:val="00A1699B"/>
    <w:rsid w:val="00A22B39"/>
    <w:rsid w:val="00A254FB"/>
    <w:rsid w:val="00A34127"/>
    <w:rsid w:val="00A35342"/>
    <w:rsid w:val="00A3638E"/>
    <w:rsid w:val="00A4020B"/>
    <w:rsid w:val="00A448CB"/>
    <w:rsid w:val="00A44A19"/>
    <w:rsid w:val="00A44A6E"/>
    <w:rsid w:val="00A61E3E"/>
    <w:rsid w:val="00A61E51"/>
    <w:rsid w:val="00A647EC"/>
    <w:rsid w:val="00A721E8"/>
    <w:rsid w:val="00A82FC4"/>
    <w:rsid w:val="00A86183"/>
    <w:rsid w:val="00A94C8A"/>
    <w:rsid w:val="00AA40C7"/>
    <w:rsid w:val="00AB016D"/>
    <w:rsid w:val="00AB6FA3"/>
    <w:rsid w:val="00AD533E"/>
    <w:rsid w:val="00AD7120"/>
    <w:rsid w:val="00AF5F60"/>
    <w:rsid w:val="00B03323"/>
    <w:rsid w:val="00B10B06"/>
    <w:rsid w:val="00B11D05"/>
    <w:rsid w:val="00B20839"/>
    <w:rsid w:val="00B20F78"/>
    <w:rsid w:val="00B339F3"/>
    <w:rsid w:val="00B3418B"/>
    <w:rsid w:val="00B362F9"/>
    <w:rsid w:val="00B367D1"/>
    <w:rsid w:val="00B41560"/>
    <w:rsid w:val="00B43427"/>
    <w:rsid w:val="00B43EC8"/>
    <w:rsid w:val="00B45636"/>
    <w:rsid w:val="00B46061"/>
    <w:rsid w:val="00B5542D"/>
    <w:rsid w:val="00B610A8"/>
    <w:rsid w:val="00B65B4F"/>
    <w:rsid w:val="00B660BB"/>
    <w:rsid w:val="00B74943"/>
    <w:rsid w:val="00B83312"/>
    <w:rsid w:val="00BA292B"/>
    <w:rsid w:val="00BC203F"/>
    <w:rsid w:val="00BC4821"/>
    <w:rsid w:val="00BC5428"/>
    <w:rsid w:val="00BD01A9"/>
    <w:rsid w:val="00BD77F8"/>
    <w:rsid w:val="00BE3C7D"/>
    <w:rsid w:val="00BE65CB"/>
    <w:rsid w:val="00BF0E72"/>
    <w:rsid w:val="00BF5A3D"/>
    <w:rsid w:val="00C15ACC"/>
    <w:rsid w:val="00C2007D"/>
    <w:rsid w:val="00C21C82"/>
    <w:rsid w:val="00C24DBD"/>
    <w:rsid w:val="00C2519D"/>
    <w:rsid w:val="00C30431"/>
    <w:rsid w:val="00C309F2"/>
    <w:rsid w:val="00C36908"/>
    <w:rsid w:val="00C45EE4"/>
    <w:rsid w:val="00C52A53"/>
    <w:rsid w:val="00C54B12"/>
    <w:rsid w:val="00C54C3C"/>
    <w:rsid w:val="00C61009"/>
    <w:rsid w:val="00C61F44"/>
    <w:rsid w:val="00C63349"/>
    <w:rsid w:val="00C64820"/>
    <w:rsid w:val="00C71105"/>
    <w:rsid w:val="00C73D43"/>
    <w:rsid w:val="00C75A8B"/>
    <w:rsid w:val="00C76B0A"/>
    <w:rsid w:val="00C85BE3"/>
    <w:rsid w:val="00C90809"/>
    <w:rsid w:val="00C91A71"/>
    <w:rsid w:val="00C93EA6"/>
    <w:rsid w:val="00C95437"/>
    <w:rsid w:val="00C9718A"/>
    <w:rsid w:val="00CA287C"/>
    <w:rsid w:val="00CA3430"/>
    <w:rsid w:val="00CB0248"/>
    <w:rsid w:val="00CB7F9E"/>
    <w:rsid w:val="00CC39C1"/>
    <w:rsid w:val="00CC4894"/>
    <w:rsid w:val="00CD6D2B"/>
    <w:rsid w:val="00CE6DE9"/>
    <w:rsid w:val="00CF3C23"/>
    <w:rsid w:val="00CF6DDA"/>
    <w:rsid w:val="00D253BC"/>
    <w:rsid w:val="00D257CD"/>
    <w:rsid w:val="00D27DA3"/>
    <w:rsid w:val="00D301EE"/>
    <w:rsid w:val="00D52021"/>
    <w:rsid w:val="00D536D6"/>
    <w:rsid w:val="00D61723"/>
    <w:rsid w:val="00D61DB9"/>
    <w:rsid w:val="00D66735"/>
    <w:rsid w:val="00D67178"/>
    <w:rsid w:val="00D76EA2"/>
    <w:rsid w:val="00D77050"/>
    <w:rsid w:val="00D84F97"/>
    <w:rsid w:val="00D85663"/>
    <w:rsid w:val="00DA4C7F"/>
    <w:rsid w:val="00DA5ECC"/>
    <w:rsid w:val="00DA6AD3"/>
    <w:rsid w:val="00DB2107"/>
    <w:rsid w:val="00DB43E6"/>
    <w:rsid w:val="00DD778D"/>
    <w:rsid w:val="00DE370F"/>
    <w:rsid w:val="00DE6CB6"/>
    <w:rsid w:val="00E028B8"/>
    <w:rsid w:val="00E02DB5"/>
    <w:rsid w:val="00E21052"/>
    <w:rsid w:val="00E24FBF"/>
    <w:rsid w:val="00E26DB2"/>
    <w:rsid w:val="00E32D60"/>
    <w:rsid w:val="00E47104"/>
    <w:rsid w:val="00E50F2C"/>
    <w:rsid w:val="00E5298F"/>
    <w:rsid w:val="00E53CCE"/>
    <w:rsid w:val="00E56BF0"/>
    <w:rsid w:val="00E834D5"/>
    <w:rsid w:val="00E84832"/>
    <w:rsid w:val="00E9531D"/>
    <w:rsid w:val="00E95C55"/>
    <w:rsid w:val="00EA0917"/>
    <w:rsid w:val="00EB0188"/>
    <w:rsid w:val="00EB23ED"/>
    <w:rsid w:val="00EB799D"/>
    <w:rsid w:val="00EC1F0E"/>
    <w:rsid w:val="00ED6E0E"/>
    <w:rsid w:val="00EE4453"/>
    <w:rsid w:val="00F0246E"/>
    <w:rsid w:val="00F05748"/>
    <w:rsid w:val="00F05C32"/>
    <w:rsid w:val="00F07962"/>
    <w:rsid w:val="00F1113E"/>
    <w:rsid w:val="00F12C14"/>
    <w:rsid w:val="00F13746"/>
    <w:rsid w:val="00F243C7"/>
    <w:rsid w:val="00F3189F"/>
    <w:rsid w:val="00F32DAA"/>
    <w:rsid w:val="00F340FE"/>
    <w:rsid w:val="00F34956"/>
    <w:rsid w:val="00F40517"/>
    <w:rsid w:val="00F43F5E"/>
    <w:rsid w:val="00F6048F"/>
    <w:rsid w:val="00F6768B"/>
    <w:rsid w:val="00F72C73"/>
    <w:rsid w:val="00F74FCC"/>
    <w:rsid w:val="00F8008D"/>
    <w:rsid w:val="00F82BCB"/>
    <w:rsid w:val="00F8304C"/>
    <w:rsid w:val="00F872EB"/>
    <w:rsid w:val="00FA4CB5"/>
    <w:rsid w:val="00FA7656"/>
    <w:rsid w:val="00FC1302"/>
    <w:rsid w:val="00FC446F"/>
    <w:rsid w:val="00FC4935"/>
    <w:rsid w:val="00FD4ABE"/>
    <w:rsid w:val="00FE061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209D286-54C0-4E40-9839-93E050CA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eastAsia="cs-CZ"/>
    </w:rPr>
  </w:style>
  <w:style w:type="paragraph" w:styleId="Nadpis1">
    <w:name w:val="heading 1"/>
    <w:basedOn w:val="Normln"/>
    <w:next w:val="Normln"/>
    <w:link w:val="Nadpis1Char"/>
    <w:qFormat/>
    <w:rsid w:val="00766EDA"/>
    <w:pPr>
      <w:keepNext/>
      <w:spacing w:before="240" w:after="60"/>
      <w:outlineLvl w:val="0"/>
    </w:pPr>
    <w:rPr>
      <w:rFonts w:ascii="Calibri Light" w:hAnsi="Calibri Light"/>
      <w:b/>
      <w:bCs/>
      <w:kern w:val="32"/>
      <w:sz w:val="32"/>
      <w:szCs w:val="32"/>
    </w:rPr>
  </w:style>
  <w:style w:type="paragraph" w:styleId="Nadpis2">
    <w:name w:val="heading 2"/>
    <w:basedOn w:val="Normln"/>
    <w:next w:val="Normln"/>
    <w:qFormat/>
    <w:pPr>
      <w:keepNext/>
      <w:jc w:val="both"/>
      <w:outlineLvl w:val="1"/>
    </w:pPr>
    <w:rPr>
      <w:b/>
      <w:bCs/>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widowControl w:val="0"/>
      <w:ind w:left="300"/>
      <w:jc w:val="both"/>
    </w:pPr>
    <w:rPr>
      <w:snapToGrid w:val="0"/>
      <w:szCs w:val="20"/>
    </w:rPr>
  </w:style>
  <w:style w:type="character" w:styleId="Hypertextovodkaz">
    <w:name w:val="Hyperlink"/>
    <w:uiPriority w:val="99"/>
    <w:rPr>
      <w:color w:val="0000FF"/>
      <w:u w:val="single"/>
    </w:rPr>
  </w:style>
  <w:style w:type="paragraph" w:styleId="Rozvrendokumentu">
    <w:name w:val="Rozvržení dokumentu"/>
    <w:basedOn w:val="Normln"/>
    <w:semiHidden/>
    <w:pPr>
      <w:shd w:val="clear" w:color="auto" w:fill="000080"/>
    </w:pPr>
    <w:rPr>
      <w:rFonts w:ascii="Tahoma" w:hAnsi="Tahoma" w:cs="Tahoma"/>
    </w:rPr>
  </w:style>
  <w:style w:type="paragraph" w:styleId="Zkladntext">
    <w:name w:val="Body Text"/>
    <w:basedOn w:val="Normln"/>
    <w:pPr>
      <w:spacing w:after="120"/>
    </w:pPr>
  </w:style>
  <w:style w:type="paragraph" w:styleId="Textvysvtlivek">
    <w:name w:val="endnote text"/>
    <w:basedOn w:val="Normln"/>
    <w:semiHidden/>
    <w:pPr>
      <w:widowControl w:val="0"/>
      <w:overflowPunct w:val="0"/>
      <w:autoSpaceDE w:val="0"/>
      <w:autoSpaceDN w:val="0"/>
      <w:adjustRightInd w:val="0"/>
      <w:textAlignment w:val="baseline"/>
    </w:pPr>
    <w:rPr>
      <w:szCs w:val="20"/>
    </w:rPr>
  </w:style>
  <w:style w:type="paragraph" w:customStyle="1" w:styleId="titulek">
    <w:name w:val="titulek"/>
    <w:basedOn w:val="Normln"/>
    <w:pPr>
      <w:widowControl w:val="0"/>
      <w:overflowPunct w:val="0"/>
      <w:autoSpaceDE w:val="0"/>
      <w:autoSpaceDN w:val="0"/>
      <w:adjustRightInd w:val="0"/>
      <w:textAlignment w:val="baseline"/>
    </w:pPr>
    <w:rPr>
      <w:szCs w:val="20"/>
    </w:rPr>
  </w:style>
  <w:style w:type="paragraph" w:styleId="Nzev">
    <w:name w:val="Title"/>
    <w:basedOn w:val="Normln"/>
    <w:qFormat/>
    <w:pPr>
      <w:overflowPunct w:val="0"/>
      <w:autoSpaceDE w:val="0"/>
      <w:autoSpaceDN w:val="0"/>
      <w:adjustRightInd w:val="0"/>
      <w:spacing w:line="240" w:lineRule="atLeast"/>
      <w:jc w:val="center"/>
      <w:textAlignment w:val="baseline"/>
    </w:pPr>
    <w:rPr>
      <w:szCs w:val="20"/>
    </w:rPr>
  </w:style>
  <w:style w:type="paragraph" w:styleId="Textpoznpodarou">
    <w:name w:val="footnote text"/>
    <w:basedOn w:val="Normln"/>
    <w:link w:val="TextpoznpodarouChar"/>
    <w:semiHidden/>
    <w:pPr>
      <w:overflowPunct w:val="0"/>
      <w:autoSpaceDE w:val="0"/>
      <w:autoSpaceDN w:val="0"/>
      <w:adjustRightInd w:val="0"/>
      <w:textAlignment w:val="baseline"/>
    </w:pPr>
    <w:rPr>
      <w:sz w:val="20"/>
      <w:szCs w:val="20"/>
    </w:rPr>
  </w:style>
  <w:style w:type="character" w:styleId="Znakapoznpodarou">
    <w:name w:val="footnote reference"/>
    <w:semiHidden/>
    <w:rPr>
      <w:vertAlign w:val="superscript"/>
    </w:rPr>
  </w:style>
  <w:style w:type="paragraph" w:customStyle="1" w:styleId="BodyText2">
    <w:name w:val="Body Text 2"/>
    <w:basedOn w:val="Normln"/>
    <w:pPr>
      <w:overflowPunct w:val="0"/>
      <w:autoSpaceDE w:val="0"/>
      <w:autoSpaceDN w:val="0"/>
      <w:adjustRightInd w:val="0"/>
      <w:textAlignment w:val="baseline"/>
    </w:pPr>
    <w:rPr>
      <w:sz w:val="22"/>
      <w:szCs w:val="20"/>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Pedmtkomente">
    <w:name w:val="annotation subject"/>
    <w:basedOn w:val="Textkomente"/>
    <w:next w:val="Textkomente"/>
    <w:semiHidden/>
    <w:rPr>
      <w:b/>
      <w:bCs/>
    </w:rPr>
  </w:style>
  <w:style w:type="character" w:styleId="slostrnky">
    <w:name w:val="page number"/>
    <w:basedOn w:val="Standardnpsmoodstavce"/>
  </w:style>
  <w:style w:type="character" w:customStyle="1" w:styleId="Nadpis1Char">
    <w:name w:val="Nadpis 1 Char"/>
    <w:link w:val="Nadpis1"/>
    <w:rsid w:val="00766EDA"/>
    <w:rPr>
      <w:rFonts w:ascii="Calibri Light" w:eastAsia="Times New Roman" w:hAnsi="Calibri Light" w:cs="Times New Roman"/>
      <w:b/>
      <w:bCs/>
      <w:kern w:val="32"/>
      <w:sz w:val="32"/>
      <w:szCs w:val="32"/>
    </w:rPr>
  </w:style>
  <w:style w:type="numbering" w:customStyle="1" w:styleId="Mj">
    <w:name w:val="Můj"/>
    <w:rsid w:val="00766EDA"/>
    <w:pPr>
      <w:numPr>
        <w:numId w:val="1"/>
      </w:numPr>
    </w:pPr>
  </w:style>
  <w:style w:type="character" w:customStyle="1" w:styleId="TextpoznpodarouChar">
    <w:name w:val="Text pozn. pod čarou Char"/>
    <w:link w:val="Textpoznpodarou"/>
    <w:semiHidden/>
    <w:rsid w:val="00766EDA"/>
  </w:style>
  <w:style w:type="character" w:customStyle="1" w:styleId="TextkomenteChar">
    <w:name w:val="Text komentáře Char"/>
    <w:link w:val="Textkomente"/>
    <w:semiHidden/>
    <w:rsid w:val="00766EDA"/>
  </w:style>
  <w:style w:type="paragraph" w:styleId="Obsah1">
    <w:name w:val="toc 1"/>
    <w:basedOn w:val="Normln"/>
    <w:next w:val="Normln"/>
    <w:autoRedefine/>
    <w:uiPriority w:val="39"/>
    <w:rsid w:val="00766EDA"/>
    <w:pPr>
      <w:tabs>
        <w:tab w:val="right" w:leader="dot" w:pos="9628"/>
      </w:tabs>
      <w:jc w:val="center"/>
    </w:pPr>
    <w:rPr>
      <w:b/>
      <w:bCs/>
      <w:noProof/>
      <w:sz w:val="22"/>
      <w:szCs w:val="22"/>
      <w:lang w:eastAsia="x-none"/>
    </w:rPr>
  </w:style>
  <w:style w:type="paragraph" w:styleId="Odstavecseseznamem">
    <w:name w:val="List Paragraph"/>
    <w:basedOn w:val="Normln"/>
    <w:uiPriority w:val="34"/>
    <w:qFormat/>
    <w:rsid w:val="00766EDA"/>
    <w:pPr>
      <w:ind w:left="720"/>
      <w:contextualSpacing/>
    </w:pPr>
  </w:style>
  <w:style w:type="numbering" w:customStyle="1" w:styleId="Pedpisy97">
    <w:name w:val="Předpisy 97"/>
    <w:uiPriority w:val="99"/>
    <w:rsid w:val="00766EDA"/>
    <w:pPr>
      <w:numPr>
        <w:numId w:val="2"/>
      </w:numPr>
    </w:pPr>
  </w:style>
  <w:style w:type="paragraph" w:styleId="Nadpisobsahu">
    <w:name w:val="TOC Heading"/>
    <w:basedOn w:val="Nadpis1"/>
    <w:next w:val="Normln"/>
    <w:uiPriority w:val="39"/>
    <w:unhideWhenUsed/>
    <w:qFormat/>
    <w:rsid w:val="00C2007D"/>
    <w:pPr>
      <w:keepLines/>
      <w:spacing w:after="0" w:line="259" w:lineRule="auto"/>
      <w:outlineLvl w:val="9"/>
    </w:pPr>
    <w:rPr>
      <w:b w:val="0"/>
      <w:bCs w:val="0"/>
      <w:color w:val="2E74B5"/>
      <w:kern w:val="0"/>
    </w:rPr>
  </w:style>
  <w:style w:type="paragraph" w:styleId="Obsah3">
    <w:name w:val="toc 3"/>
    <w:basedOn w:val="Normln"/>
    <w:next w:val="Normln"/>
    <w:autoRedefine/>
    <w:uiPriority w:val="39"/>
    <w:rsid w:val="00B74943"/>
    <w:pPr>
      <w:tabs>
        <w:tab w:val="right" w:leader="dot" w:pos="9628"/>
      </w:tabs>
      <w:spacing w:before="120"/>
      <w:ind w:left="482"/>
    </w:pPr>
    <w:rPr>
      <w:noProof/>
    </w:rPr>
  </w:style>
  <w:style w:type="paragraph" w:styleId="Obsah2">
    <w:name w:val="toc 2"/>
    <w:basedOn w:val="Normln"/>
    <w:next w:val="Normln"/>
    <w:autoRedefine/>
    <w:uiPriority w:val="39"/>
    <w:rsid w:val="00C2007D"/>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4889">
      <w:bodyDiv w:val="1"/>
      <w:marLeft w:val="0"/>
      <w:marRight w:val="0"/>
      <w:marTop w:val="0"/>
      <w:marBottom w:val="0"/>
      <w:divBdr>
        <w:top w:val="none" w:sz="0" w:space="0" w:color="auto"/>
        <w:left w:val="none" w:sz="0" w:space="0" w:color="auto"/>
        <w:bottom w:val="none" w:sz="0" w:space="0" w:color="auto"/>
        <w:right w:val="none" w:sz="0" w:space="0" w:color="auto"/>
      </w:divBdr>
    </w:div>
    <w:div w:id="419446423">
      <w:bodyDiv w:val="1"/>
      <w:marLeft w:val="0"/>
      <w:marRight w:val="0"/>
      <w:marTop w:val="0"/>
      <w:marBottom w:val="0"/>
      <w:divBdr>
        <w:top w:val="none" w:sz="0" w:space="0" w:color="auto"/>
        <w:left w:val="none" w:sz="0" w:space="0" w:color="auto"/>
        <w:bottom w:val="none" w:sz="0" w:space="0" w:color="auto"/>
        <w:right w:val="none" w:sz="0" w:space="0" w:color="auto"/>
      </w:divBdr>
    </w:div>
    <w:div w:id="4419952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ata%20aplikac&#237;\Microsoft\&#352;ablony\Sm&#283;rn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Prilohy"><![CDATA[680;#/vnitrni_predpisy_publikovane_prilohy/PR_01_2022_p1.doc;#681;#/vnitrni_predpisy_publikovane_prilohy/PR_01_2022_p2.doc;#682;#/vnitrni_predpisy_publikovane_prilohy/PR_01_2022_p3.doc;#683;#/vnitrni_predpisy_publikovane_prilohy/PR_01_2022_p4.doc;#684;#/vnitrni_predpisy_publikovane_prilohy/PR_01_2022_p5.doc;#685;#/vnitrni_predpisy_publikovane_prilohy/PR_01_2022_p6.doc]]></LongProp>
</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17E5C4DE9C3C54199AE91D64408E788" ma:contentTypeVersion="4" ma:contentTypeDescription="Vytvoří nový dokument" ma:contentTypeScope="" ma:versionID="852d60404c20c78b79909363b473666a">
  <xsd:schema xmlns:xsd="http://www.w3.org/2001/XMLSchema" xmlns:xs="http://www.w3.org/2001/XMLSchema" xmlns:p="http://schemas.microsoft.com/office/2006/metadata/properties" xmlns:ns2="e8bae195-2b1f-4dbc-a619-282f1cc7c0f2" targetNamespace="http://schemas.microsoft.com/office/2006/metadata/properties" ma:root="true" ma:fieldsID="e75d39fc333dd550af2a1dd25f153dfd" ns2:_="">
    <xsd:import namespace="e8bae195-2b1f-4dbc-a619-282f1cc7c0f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ae195-2b1f-4dbc-a619-282f1cc7c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D1A67E-BE8D-49FD-831F-6BCC84BC9C5B}">
  <ds:schemaRefs>
    <ds:schemaRef ds:uri="http://schemas.openxmlformats.org/officeDocument/2006/bibliography"/>
  </ds:schemaRefs>
</ds:datastoreItem>
</file>

<file path=customXml/itemProps2.xml><?xml version="1.0" encoding="utf-8"?>
<ds:datastoreItem xmlns:ds="http://schemas.openxmlformats.org/officeDocument/2006/customXml" ds:itemID="{ABF0F366-0BEE-440D-AB40-4C80280CDFEE}">
  <ds:schemaRefs>
    <ds:schemaRef ds:uri="http://schemas.microsoft.com/sharepoint/v3/contenttype/forms"/>
  </ds:schemaRefs>
</ds:datastoreItem>
</file>

<file path=customXml/itemProps3.xml><?xml version="1.0" encoding="utf-8"?>
<ds:datastoreItem xmlns:ds="http://schemas.openxmlformats.org/officeDocument/2006/customXml" ds:itemID="{3B95F182-EF38-4D66-B957-05BEBB4225A9}">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7B6BF77C-51B4-4CC3-BEFD-58B797D15451}"/>
</file>

<file path=customXml/itemProps5.xml><?xml version="1.0" encoding="utf-8"?>
<ds:datastoreItem xmlns:ds="http://schemas.openxmlformats.org/officeDocument/2006/customXml" ds:itemID="{FD8488A1-B95E-4BF8-AAE7-CB7F90897B0C}"/>
</file>

<file path=docProps/app.xml><?xml version="1.0" encoding="utf-8"?>
<Properties xmlns="http://schemas.openxmlformats.org/officeDocument/2006/extended-properties" xmlns:vt="http://schemas.openxmlformats.org/officeDocument/2006/docPropsVTypes">
  <Template>Směrnice.dot</Template>
  <TotalTime>38</TotalTime>
  <Pages>1</Pages>
  <Words>7019</Words>
  <Characters>41417</Characters>
  <Application>Microsoft Office Word</Application>
  <DocSecurity>0</DocSecurity>
  <Lines>345</Lines>
  <Paragraphs>96</Paragraphs>
  <ScaleCrop>false</ScaleCrop>
  <HeadingPairs>
    <vt:vector size="4" baseType="variant">
      <vt:variant>
        <vt:lpstr>Název</vt:lpstr>
      </vt:variant>
      <vt:variant>
        <vt:i4>1</vt:i4>
      </vt:variant>
      <vt:variant>
        <vt:lpstr>Nadpisy</vt:lpstr>
      </vt:variant>
      <vt:variant>
        <vt:i4>40</vt:i4>
      </vt:variant>
    </vt:vector>
  </HeadingPairs>
  <TitlesOfParts>
    <vt:vector size="41" baseType="lpstr">
      <vt:lpstr>Předpis Rady kraje</vt:lpstr>
      <vt:lpstr>Část první</vt:lpstr>
      <vt:lpstr>ÚVODNÍ USTANOVENÍ</vt:lpstr>
      <vt:lpstr>        Čl. I. Účel úpravy</vt:lpstr>
      <vt:lpstr>        </vt:lpstr>
      <vt:lpstr>        </vt:lpstr>
      <vt:lpstr>        Čl. II. Výklad některých pojmů</vt:lpstr>
      <vt:lpstr>Část druhá</vt:lpstr>
      <vt:lpstr>OBECNÁ USTANOVENÍ</vt:lpstr>
      <vt:lpstr/>
      <vt:lpstr>    Hlava první</vt:lpstr>
      <vt:lpstr>    Společná ustanovení ke škodám</vt:lpstr>
      <vt:lpstr>    </vt:lpstr>
      <vt:lpstr>        Čl. III. Povinnosti zaměstnanců předcházet škodám</vt:lpstr>
      <vt:lpstr>        </vt:lpstr>
      <vt:lpstr>        </vt:lpstr>
      <vt:lpstr>        Čl. IV. Povinnost zaměstnanců k náhradě škody  </vt:lpstr>
      <vt:lpstr>        Čl. V. Škoda vzniklá či způsobená zaměstnavateli </vt:lpstr>
      <vt:lpstr>        Čl. VI. Rozsah a způsob náhrady škody</vt:lpstr>
      <vt:lpstr>    Hlava druhá</vt:lpstr>
      <vt:lpstr>    Postup při řešení náhrady škody kraji</vt:lpstr>
      <vt:lpstr>        Čl. VII. Prošetření okolností, oznámení škody a její šetření </vt:lpstr>
      <vt:lpstr>        </vt:lpstr>
      <vt:lpstr>        </vt:lpstr>
      <vt:lpstr>        Čl. VIII. Administrace škodních případů kraje do 10.000,00 Kč</vt:lpstr>
      <vt:lpstr/>
      <vt:lpstr>        </vt:lpstr>
      <vt:lpstr>        Čl. IX. Administrace škodních případů kraje nad 10.000,00 Kč</vt:lpstr>
      <vt:lpstr>        </vt:lpstr>
      <vt:lpstr>        </vt:lpstr>
      <vt:lpstr>        Čl. X. Postup při administraci škod dle občanského zákoníku</vt:lpstr>
      <vt:lpstr>    Hlava třetí</vt:lpstr>
      <vt:lpstr>    Postup při řešení náhrady škody příspěvkové organizaci</vt:lpstr>
      <vt:lpstr>        </vt:lpstr>
      <vt:lpstr>        Čl. XI. Prošetření okolností, oznámení škody a její šetření </vt:lpstr>
      <vt:lpstr>Část třetí</vt:lpstr>
      <vt:lpstr>přechodná a Závěrečná ustanovení</vt:lpstr>
      <vt:lpstr>        Čl. XII. Konečná ustanovení</vt:lpstr>
      <vt:lpstr/>
      <vt:lpstr/>
      <vt:lpstr>Přílohy: </vt:lpstr>
    </vt:vector>
  </TitlesOfParts>
  <Company>Karlovy Vary</Company>
  <LinksUpToDate>false</LinksUpToDate>
  <CharactersWithSpaces>48340</CharactersWithSpaces>
  <SharedDoc>false</SharedDoc>
  <HLinks>
    <vt:vector size="150" baseType="variant">
      <vt:variant>
        <vt:i4>1966132</vt:i4>
      </vt:variant>
      <vt:variant>
        <vt:i4>146</vt:i4>
      </vt:variant>
      <vt:variant>
        <vt:i4>0</vt:i4>
      </vt:variant>
      <vt:variant>
        <vt:i4>5</vt:i4>
      </vt:variant>
      <vt:variant>
        <vt:lpwstr/>
      </vt:variant>
      <vt:variant>
        <vt:lpwstr>_Toc89843571</vt:lpwstr>
      </vt:variant>
      <vt:variant>
        <vt:i4>2031668</vt:i4>
      </vt:variant>
      <vt:variant>
        <vt:i4>140</vt:i4>
      </vt:variant>
      <vt:variant>
        <vt:i4>0</vt:i4>
      </vt:variant>
      <vt:variant>
        <vt:i4>5</vt:i4>
      </vt:variant>
      <vt:variant>
        <vt:lpwstr/>
      </vt:variant>
      <vt:variant>
        <vt:lpwstr>_Toc89843570</vt:lpwstr>
      </vt:variant>
      <vt:variant>
        <vt:i4>1441845</vt:i4>
      </vt:variant>
      <vt:variant>
        <vt:i4>134</vt:i4>
      </vt:variant>
      <vt:variant>
        <vt:i4>0</vt:i4>
      </vt:variant>
      <vt:variant>
        <vt:i4>5</vt:i4>
      </vt:variant>
      <vt:variant>
        <vt:lpwstr/>
      </vt:variant>
      <vt:variant>
        <vt:lpwstr>_Toc89843569</vt:lpwstr>
      </vt:variant>
      <vt:variant>
        <vt:i4>1507381</vt:i4>
      </vt:variant>
      <vt:variant>
        <vt:i4>128</vt:i4>
      </vt:variant>
      <vt:variant>
        <vt:i4>0</vt:i4>
      </vt:variant>
      <vt:variant>
        <vt:i4>5</vt:i4>
      </vt:variant>
      <vt:variant>
        <vt:lpwstr/>
      </vt:variant>
      <vt:variant>
        <vt:lpwstr>_Toc89843568</vt:lpwstr>
      </vt:variant>
      <vt:variant>
        <vt:i4>1572917</vt:i4>
      </vt:variant>
      <vt:variant>
        <vt:i4>122</vt:i4>
      </vt:variant>
      <vt:variant>
        <vt:i4>0</vt:i4>
      </vt:variant>
      <vt:variant>
        <vt:i4>5</vt:i4>
      </vt:variant>
      <vt:variant>
        <vt:lpwstr/>
      </vt:variant>
      <vt:variant>
        <vt:lpwstr>_Toc89843567</vt:lpwstr>
      </vt:variant>
      <vt:variant>
        <vt:i4>1638453</vt:i4>
      </vt:variant>
      <vt:variant>
        <vt:i4>116</vt:i4>
      </vt:variant>
      <vt:variant>
        <vt:i4>0</vt:i4>
      </vt:variant>
      <vt:variant>
        <vt:i4>5</vt:i4>
      </vt:variant>
      <vt:variant>
        <vt:lpwstr/>
      </vt:variant>
      <vt:variant>
        <vt:lpwstr>_Toc89843566</vt:lpwstr>
      </vt:variant>
      <vt:variant>
        <vt:i4>1703989</vt:i4>
      </vt:variant>
      <vt:variant>
        <vt:i4>110</vt:i4>
      </vt:variant>
      <vt:variant>
        <vt:i4>0</vt:i4>
      </vt:variant>
      <vt:variant>
        <vt:i4>5</vt:i4>
      </vt:variant>
      <vt:variant>
        <vt:lpwstr/>
      </vt:variant>
      <vt:variant>
        <vt:lpwstr>_Toc89843565</vt:lpwstr>
      </vt:variant>
      <vt:variant>
        <vt:i4>1769525</vt:i4>
      </vt:variant>
      <vt:variant>
        <vt:i4>104</vt:i4>
      </vt:variant>
      <vt:variant>
        <vt:i4>0</vt:i4>
      </vt:variant>
      <vt:variant>
        <vt:i4>5</vt:i4>
      </vt:variant>
      <vt:variant>
        <vt:lpwstr/>
      </vt:variant>
      <vt:variant>
        <vt:lpwstr>_Toc89843564</vt:lpwstr>
      </vt:variant>
      <vt:variant>
        <vt:i4>1835061</vt:i4>
      </vt:variant>
      <vt:variant>
        <vt:i4>98</vt:i4>
      </vt:variant>
      <vt:variant>
        <vt:i4>0</vt:i4>
      </vt:variant>
      <vt:variant>
        <vt:i4>5</vt:i4>
      </vt:variant>
      <vt:variant>
        <vt:lpwstr/>
      </vt:variant>
      <vt:variant>
        <vt:lpwstr>_Toc89843563</vt:lpwstr>
      </vt:variant>
      <vt:variant>
        <vt:i4>1900597</vt:i4>
      </vt:variant>
      <vt:variant>
        <vt:i4>92</vt:i4>
      </vt:variant>
      <vt:variant>
        <vt:i4>0</vt:i4>
      </vt:variant>
      <vt:variant>
        <vt:i4>5</vt:i4>
      </vt:variant>
      <vt:variant>
        <vt:lpwstr/>
      </vt:variant>
      <vt:variant>
        <vt:lpwstr>_Toc89843562</vt:lpwstr>
      </vt:variant>
      <vt:variant>
        <vt:i4>1966133</vt:i4>
      </vt:variant>
      <vt:variant>
        <vt:i4>86</vt:i4>
      </vt:variant>
      <vt:variant>
        <vt:i4>0</vt:i4>
      </vt:variant>
      <vt:variant>
        <vt:i4>5</vt:i4>
      </vt:variant>
      <vt:variant>
        <vt:lpwstr/>
      </vt:variant>
      <vt:variant>
        <vt:lpwstr>_Toc89843561</vt:lpwstr>
      </vt:variant>
      <vt:variant>
        <vt:i4>2031669</vt:i4>
      </vt:variant>
      <vt:variant>
        <vt:i4>80</vt:i4>
      </vt:variant>
      <vt:variant>
        <vt:i4>0</vt:i4>
      </vt:variant>
      <vt:variant>
        <vt:i4>5</vt:i4>
      </vt:variant>
      <vt:variant>
        <vt:lpwstr/>
      </vt:variant>
      <vt:variant>
        <vt:lpwstr>_Toc89843560</vt:lpwstr>
      </vt:variant>
      <vt:variant>
        <vt:i4>1441846</vt:i4>
      </vt:variant>
      <vt:variant>
        <vt:i4>74</vt:i4>
      </vt:variant>
      <vt:variant>
        <vt:i4>0</vt:i4>
      </vt:variant>
      <vt:variant>
        <vt:i4>5</vt:i4>
      </vt:variant>
      <vt:variant>
        <vt:lpwstr/>
      </vt:variant>
      <vt:variant>
        <vt:lpwstr>_Toc89843559</vt:lpwstr>
      </vt:variant>
      <vt:variant>
        <vt:i4>1507382</vt:i4>
      </vt:variant>
      <vt:variant>
        <vt:i4>68</vt:i4>
      </vt:variant>
      <vt:variant>
        <vt:i4>0</vt:i4>
      </vt:variant>
      <vt:variant>
        <vt:i4>5</vt:i4>
      </vt:variant>
      <vt:variant>
        <vt:lpwstr/>
      </vt:variant>
      <vt:variant>
        <vt:lpwstr>_Toc89843558</vt:lpwstr>
      </vt:variant>
      <vt:variant>
        <vt:i4>1572918</vt:i4>
      </vt:variant>
      <vt:variant>
        <vt:i4>62</vt:i4>
      </vt:variant>
      <vt:variant>
        <vt:i4>0</vt:i4>
      </vt:variant>
      <vt:variant>
        <vt:i4>5</vt:i4>
      </vt:variant>
      <vt:variant>
        <vt:lpwstr/>
      </vt:variant>
      <vt:variant>
        <vt:lpwstr>_Toc89843557</vt:lpwstr>
      </vt:variant>
      <vt:variant>
        <vt:i4>1638454</vt:i4>
      </vt:variant>
      <vt:variant>
        <vt:i4>56</vt:i4>
      </vt:variant>
      <vt:variant>
        <vt:i4>0</vt:i4>
      </vt:variant>
      <vt:variant>
        <vt:i4>5</vt:i4>
      </vt:variant>
      <vt:variant>
        <vt:lpwstr/>
      </vt:variant>
      <vt:variant>
        <vt:lpwstr>_Toc89843556</vt:lpwstr>
      </vt:variant>
      <vt:variant>
        <vt:i4>1703990</vt:i4>
      </vt:variant>
      <vt:variant>
        <vt:i4>50</vt:i4>
      </vt:variant>
      <vt:variant>
        <vt:i4>0</vt:i4>
      </vt:variant>
      <vt:variant>
        <vt:i4>5</vt:i4>
      </vt:variant>
      <vt:variant>
        <vt:lpwstr/>
      </vt:variant>
      <vt:variant>
        <vt:lpwstr>_Toc89843555</vt:lpwstr>
      </vt:variant>
      <vt:variant>
        <vt:i4>1769526</vt:i4>
      </vt:variant>
      <vt:variant>
        <vt:i4>44</vt:i4>
      </vt:variant>
      <vt:variant>
        <vt:i4>0</vt:i4>
      </vt:variant>
      <vt:variant>
        <vt:i4>5</vt:i4>
      </vt:variant>
      <vt:variant>
        <vt:lpwstr/>
      </vt:variant>
      <vt:variant>
        <vt:lpwstr>_Toc89843554</vt:lpwstr>
      </vt:variant>
      <vt:variant>
        <vt:i4>1835062</vt:i4>
      </vt:variant>
      <vt:variant>
        <vt:i4>38</vt:i4>
      </vt:variant>
      <vt:variant>
        <vt:i4>0</vt:i4>
      </vt:variant>
      <vt:variant>
        <vt:i4>5</vt:i4>
      </vt:variant>
      <vt:variant>
        <vt:lpwstr/>
      </vt:variant>
      <vt:variant>
        <vt:lpwstr>_Toc89843553</vt:lpwstr>
      </vt:variant>
      <vt:variant>
        <vt:i4>1900598</vt:i4>
      </vt:variant>
      <vt:variant>
        <vt:i4>32</vt:i4>
      </vt:variant>
      <vt:variant>
        <vt:i4>0</vt:i4>
      </vt:variant>
      <vt:variant>
        <vt:i4>5</vt:i4>
      </vt:variant>
      <vt:variant>
        <vt:lpwstr/>
      </vt:variant>
      <vt:variant>
        <vt:lpwstr>_Toc89843552</vt:lpwstr>
      </vt:variant>
      <vt:variant>
        <vt:i4>1966134</vt:i4>
      </vt:variant>
      <vt:variant>
        <vt:i4>26</vt:i4>
      </vt:variant>
      <vt:variant>
        <vt:i4>0</vt:i4>
      </vt:variant>
      <vt:variant>
        <vt:i4>5</vt:i4>
      </vt:variant>
      <vt:variant>
        <vt:lpwstr/>
      </vt:variant>
      <vt:variant>
        <vt:lpwstr>_Toc89843551</vt:lpwstr>
      </vt:variant>
      <vt:variant>
        <vt:i4>2031670</vt:i4>
      </vt:variant>
      <vt:variant>
        <vt:i4>20</vt:i4>
      </vt:variant>
      <vt:variant>
        <vt:i4>0</vt:i4>
      </vt:variant>
      <vt:variant>
        <vt:i4>5</vt:i4>
      </vt:variant>
      <vt:variant>
        <vt:lpwstr/>
      </vt:variant>
      <vt:variant>
        <vt:lpwstr>_Toc89843550</vt:lpwstr>
      </vt:variant>
      <vt:variant>
        <vt:i4>1441847</vt:i4>
      </vt:variant>
      <vt:variant>
        <vt:i4>14</vt:i4>
      </vt:variant>
      <vt:variant>
        <vt:i4>0</vt:i4>
      </vt:variant>
      <vt:variant>
        <vt:i4>5</vt:i4>
      </vt:variant>
      <vt:variant>
        <vt:lpwstr/>
      </vt:variant>
      <vt:variant>
        <vt:lpwstr>_Toc89843549</vt:lpwstr>
      </vt:variant>
      <vt:variant>
        <vt:i4>1507383</vt:i4>
      </vt:variant>
      <vt:variant>
        <vt:i4>8</vt:i4>
      </vt:variant>
      <vt:variant>
        <vt:i4>0</vt:i4>
      </vt:variant>
      <vt:variant>
        <vt:i4>5</vt:i4>
      </vt:variant>
      <vt:variant>
        <vt:lpwstr/>
      </vt:variant>
      <vt:variant>
        <vt:lpwstr>_Toc89843548</vt:lpwstr>
      </vt:variant>
      <vt:variant>
        <vt:i4>1572919</vt:i4>
      </vt:variant>
      <vt:variant>
        <vt:i4>2</vt:i4>
      </vt:variant>
      <vt:variant>
        <vt:i4>0</vt:i4>
      </vt:variant>
      <vt:variant>
        <vt:i4>5</vt:i4>
      </vt:variant>
      <vt:variant>
        <vt:lpwstr/>
      </vt:variant>
      <vt:variant>
        <vt:lpwstr>_Toc89843547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Předpis Rady kraje</dc:title>
  <dc:subject/>
  <dc:creator>Lehocký Pavel</dc:creator>
  <cp:keywords/>
  <dc:description/>
  <cp:lastModifiedBy>Lehocký Pavel</cp:lastModifiedBy>
  <cp:revision>10</cp:revision>
  <cp:lastPrinted>2021-12-07T21:13:00Z</cp:lastPrinted>
  <dcterms:created xsi:type="dcterms:W3CDTF">2023-09-20T13:43:00Z</dcterms:created>
  <dcterms:modified xsi:type="dcterms:W3CDTF">2023-09-20T13:43:00Z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bor">
    <vt:lpwstr>1</vt:lpwstr>
  </property>
  <property fmtid="{D5CDD505-2E9C-101B-9397-08002B2CF9AE}" pid="3" name="Typ_predpisu">
    <vt:lpwstr>předpisy rady</vt:lpwstr>
  </property>
  <property fmtid="{D5CDD505-2E9C-101B-9397-08002B2CF9AE}" pid="4" name="display_urn:schemas-microsoft-com:office:office#Zadavatel">
    <vt:lpwstr>vnitřní předpisy - systém (neodpovídat)</vt:lpwstr>
  </property>
  <property fmtid="{D5CDD505-2E9C-101B-9397-08002B2CF9AE}" pid="5" name="Zadavatel">
    <vt:lpwstr>12</vt:lpwstr>
  </property>
  <property fmtid="{D5CDD505-2E9C-101B-9397-08002B2CF9AE}" pid="6" name="Duvod_nezverejneni">
    <vt:lpwstr/>
  </property>
  <property fmtid="{D5CDD505-2E9C-101B-9397-08002B2CF9AE}" pid="7" name="Poverene_osoby">
    <vt:lpwstr/>
  </property>
  <property fmtid="{D5CDD505-2E9C-101B-9397-08002B2CF9AE}" pid="8" name="Duvodova_zprava">
    <vt:lpwstr/>
  </property>
  <property fmtid="{D5CDD505-2E9C-101B-9397-08002B2CF9AE}" pid="9" name="Nazev_predpisu">
    <vt:lpwstr>Řešení případů odpovědnosti za škodu</vt:lpwstr>
  </property>
  <property fmtid="{D5CDD505-2E9C-101B-9397-08002B2CF9AE}" pid="10" name="Schvalovatele">
    <vt:lpwstr>12;#i:0#.f|membership|systempa@krajkv.onmicrosoft.com</vt:lpwstr>
  </property>
  <property fmtid="{D5CDD505-2E9C-101B-9397-08002B2CF9AE}" pid="11" name="Evidencni_cislo">
    <vt:lpwstr>PR 01/2022</vt:lpwstr>
  </property>
  <property fmtid="{D5CDD505-2E9C-101B-9397-08002B2CF9AE}" pid="12" name="Bez_pripominkoveho_rizeni">
    <vt:bool>true</vt:bool>
  </property>
  <property fmtid="{D5CDD505-2E9C-101B-9397-08002B2CF9AE}" pid="13" name="display_urn:schemas-microsoft-com:office:office#Schvalovatele">
    <vt:lpwstr>vnitřní předpisy - systém (neodpovídat)</vt:lpwstr>
  </property>
  <property fmtid="{D5CDD505-2E9C-101B-9397-08002B2CF9AE}" pid="14" name="Nahrazuje">
    <vt:lpwstr/>
  </property>
  <property fmtid="{D5CDD505-2E9C-101B-9397-08002B2CF9AE}" pid="15" name="Stav">
    <vt:lpwstr>schválený</vt:lpwstr>
  </property>
  <property fmtid="{D5CDD505-2E9C-101B-9397-08002B2CF9AE}" pid="16" name="Ucinny_od">
    <vt:filetime>2022-02-01T00:00:00Z</vt:filetime>
  </property>
  <property fmtid="{D5CDD505-2E9C-101B-9397-08002B2CF9AE}" pid="17" name="Publikovano">
    <vt:filetime>2022-09-08T13:40:00Z</vt:filetime>
  </property>
  <property fmtid="{D5CDD505-2E9C-101B-9397-08002B2CF9AE}" pid="18" name="Prilohy">
    <vt:lpwstr>680;#/vnitrni_predpisy_publikovane_prilohy/PR_01_2022_p1.doc;#681;#/vnitrni_predpisy_publikovane_prilohy/PR_01_2022_p2.doc;#682;#/vnitrni_predpisy_publikovane_prilohy/PR_01_2022_p3.doc;#683;#/vnitrni_predpisy_publikovane_prilohy/PR_01_2022_p4.doc;#684;#/v</vt:lpwstr>
  </property>
  <property fmtid="{D5CDD505-2E9C-101B-9397-08002B2CF9AE}" pid="19" name="Zruseno">
    <vt:lpwstr/>
  </property>
  <property fmtid="{D5CDD505-2E9C-101B-9397-08002B2CF9AE}" pid="20" name="Rok">
    <vt:lpwstr>2022</vt:lpwstr>
  </property>
  <property fmtid="{D5CDD505-2E9C-101B-9397-08002B2CF9AE}" pid="21" name="Order">
    <vt:lpwstr>15500.0000000000</vt:lpwstr>
  </property>
  <property fmtid="{D5CDD505-2E9C-101B-9397-08002B2CF9AE}" pid="22" name="_ExtendedDescription">
    <vt:lpwstr/>
  </property>
  <property fmtid="{D5CDD505-2E9C-101B-9397-08002B2CF9AE}" pid="23" name="MediaServiceImageTags">
    <vt:lpwstr/>
  </property>
  <property fmtid="{D5CDD505-2E9C-101B-9397-08002B2CF9AE}" pid="24" name="TaxCatchAll">
    <vt:lpwstr/>
  </property>
  <property fmtid="{D5CDD505-2E9C-101B-9397-08002B2CF9AE}" pid="25" name="lcf76f155ced4ddcb4097134ff3c332f">
    <vt:lpwstr/>
  </property>
  <property fmtid="{D5CDD505-2E9C-101B-9397-08002B2CF9AE}" pid="26" name="Poradi">
    <vt:lpwstr>01</vt:lpwstr>
  </property>
  <property fmtid="{D5CDD505-2E9C-101B-9397-08002B2CF9AE}" pid="27" name="ContentTypeId">
    <vt:lpwstr>0x010100517E5C4DE9C3C54199AE91D64408E788</vt:lpwstr>
  </property>
  <property fmtid="{D5CDD505-2E9C-101B-9397-08002B2CF9AE}" pid="29" name="Platny">
    <vt:bool>true</vt:bool>
  </property>
  <property fmtid="{D5CDD505-2E9C-101B-9397-08002B2CF9AE}" pid="30" name="Publikovat_verejnosti">
    <vt:bool>true</vt:bool>
  </property>
</Properties>
</file>