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39" w:rsidP="005A3359" w:rsidRDefault="00F265C3" w14:paraId="2A3F4F75" w14:textId="77777777">
      <w:pPr>
        <w:pStyle w:val="Nzev"/>
        <w:widowControl/>
        <w:suppressAutoHyphens/>
        <w:rPr>
          <w:caps/>
          <w:sz w:val="36"/>
        </w:rPr>
      </w:pPr>
      <w:r>
        <w:rPr>
          <w:caps/>
          <w:sz w:val="36"/>
        </w:rPr>
        <w:t>P Ř E D P I S</w:t>
      </w:r>
    </w:p>
    <w:p w:rsidR="00FB2039" w:rsidP="005A3359" w:rsidRDefault="00FB2039" w14:paraId="5DAB6C7B" w14:textId="77777777">
      <w:pPr>
        <w:pStyle w:val="Nzev"/>
        <w:widowControl/>
        <w:suppressAutoHyphens/>
        <w:rPr>
          <w:caps/>
          <w:sz w:val="32"/>
        </w:rPr>
      </w:pPr>
    </w:p>
    <w:p w:rsidR="00FB2039" w:rsidP="005A3359" w:rsidRDefault="00F265C3" w14:paraId="06B83699" w14:textId="77777777">
      <w:pPr>
        <w:pStyle w:val="Nzev"/>
        <w:widowControl/>
        <w:suppressAutoHyphens/>
        <w:rPr>
          <w:b w:val="0"/>
          <w:bCs w:val="0"/>
          <w:caps/>
        </w:rPr>
      </w:pPr>
      <w:r>
        <w:rPr>
          <w:b w:val="0"/>
          <w:bCs w:val="0"/>
          <w:caps/>
        </w:rPr>
        <w:t>RADY KRAJE</w:t>
      </w:r>
    </w:p>
    <w:p w:rsidR="00FB2039" w:rsidP="005A3359" w:rsidRDefault="00FB2039" w14:paraId="02EB378F" w14:textId="77777777">
      <w:pPr>
        <w:pStyle w:val="Nzev"/>
        <w:widowControl/>
        <w:suppressAutoHyphens/>
        <w:rPr>
          <w:caps/>
        </w:rPr>
      </w:pPr>
    </w:p>
    <w:p w:rsidR="00FB2039" w:rsidP="005A3359" w:rsidRDefault="00F265C3" w14:paraId="6E4AD9C8" w14:textId="117C40F2">
      <w:pPr>
        <w:pStyle w:val="Nzev"/>
        <w:widowControl/>
        <w:suppressAutoHyphens/>
        <w:rPr>
          <w:b w:val="0"/>
          <w:bCs w:val="0"/>
          <w:caps/>
        </w:rPr>
      </w:pPr>
      <w:r>
        <w:rPr>
          <w:b w:val="0"/>
          <w:bCs w:val="0"/>
          <w:caps/>
        </w:rPr>
        <w:t xml:space="preserve">pr </w:t>
      </w:r>
      <w:r w:rsidR="00BC2704">
        <w:rPr>
          <w:b w:val="0"/>
          <w:bCs w:val="0"/>
          <w:caps/>
        </w:rPr>
        <w:t>04</w:t>
      </w:r>
      <w:r w:rsidR="009B3F55">
        <w:rPr>
          <w:b w:val="0"/>
          <w:bCs w:val="0"/>
          <w:caps/>
        </w:rPr>
        <w:t>/202</w:t>
      </w:r>
      <w:r w:rsidR="001041F7">
        <w:rPr>
          <w:b w:val="0"/>
          <w:bCs w:val="0"/>
          <w:caps/>
        </w:rPr>
        <w:t>4</w:t>
      </w:r>
    </w:p>
    <w:p w:rsidR="00FB2039" w:rsidP="005A3359" w:rsidRDefault="00FB2039" w14:paraId="6A05A809" w14:textId="77777777">
      <w:pPr>
        <w:pStyle w:val="Nzev"/>
        <w:widowControl/>
        <w:suppressAutoHyphens/>
        <w:rPr>
          <w:caps/>
        </w:rPr>
      </w:pPr>
    </w:p>
    <w:p w:rsidR="00FB2039" w:rsidP="005A3359" w:rsidRDefault="00F265C3" w14:paraId="5DC0C3A0" w14:textId="77777777">
      <w:pPr>
        <w:pStyle w:val="Nzev"/>
        <w:widowControl/>
        <w:suppressAutoHyphens/>
        <w:rPr>
          <w:b w:val="0"/>
          <w:bCs w:val="0"/>
          <w:caps/>
        </w:rPr>
      </w:pPr>
      <w:r>
        <w:rPr>
          <w:b w:val="0"/>
          <w:bCs w:val="0"/>
          <w:caps/>
        </w:rPr>
        <w:t>PRAVIDLA PRO POSKYTOVÁNÍ DOTACÍ A JEJICH ADMINISTRACE</w:t>
      </w:r>
    </w:p>
    <w:p w:rsidR="0099485D" w:rsidP="0099485D" w:rsidRDefault="0099485D" w14:paraId="045E83BF" w14:textId="77777777">
      <w:pPr>
        <w:rPr>
          <w:sz w:val="24"/>
        </w:rPr>
      </w:pPr>
    </w:p>
    <w:tbl>
      <w:tblPr>
        <w:tblW w:w="933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216"/>
        <w:gridCol w:w="2335"/>
        <w:gridCol w:w="2126"/>
        <w:gridCol w:w="2477"/>
      </w:tblGrid>
      <w:tr w:rsidR="0099485D" w:rsidTr="0099485D" w14:paraId="6F87E004" w14:textId="77777777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="0099485D" w:rsidP="00A908A1" w:rsidRDefault="0099485D" w14:paraId="38F0ECDC" w14:textId="77777777">
            <w:pPr>
              <w:jc w:val="both"/>
              <w:rPr>
                <w:b/>
                <w:i/>
                <w:iCs/>
                <w:sz w:val="24"/>
              </w:rPr>
            </w:pPr>
            <w:bookmarkStart w:name="_Hlk145685157" w:id="0"/>
            <w:r>
              <w:rPr>
                <w:b/>
                <w:i/>
                <w:iCs/>
                <w:sz w:val="24"/>
              </w:rPr>
              <w:t>Zpracovatel:</w:t>
            </w:r>
          </w:p>
        </w:tc>
        <w:tc>
          <w:tcPr>
            <w:tcW w:w="6938" w:type="dxa"/>
            <w:gridSpan w:val="3"/>
            <w:tcBorders>
              <w:top w:val="single" w:color="auto" w:sz="18" w:space="0"/>
              <w:bottom w:val="single" w:color="auto" w:sz="4" w:space="0"/>
            </w:tcBorders>
          </w:tcPr>
          <w:p w:rsidR="0099485D" w:rsidP="00A908A1" w:rsidRDefault="0099485D" w14:paraId="0DBB8FCA" w14:textId="77777777">
            <w:pPr>
              <w:pStyle w:val="Nadpis6"/>
              <w:widowControl/>
              <w:spacing w:before="120"/>
              <w:rPr>
                <w:bCs/>
                <w:snapToGrid/>
                <w:sz w:val="24"/>
              </w:rPr>
            </w:pPr>
            <w:r w:rsidRPr="6F53692B">
              <w:rPr>
                <w:snapToGrid/>
                <w:sz w:val="24"/>
                <w:szCs w:val="24"/>
              </w:rPr>
              <w:t>Ing. Tomáš Brtek, vedoucí odboru investic</w:t>
            </w:r>
          </w:p>
        </w:tc>
      </w:tr>
      <w:tr w:rsidR="0099485D" w:rsidTr="0099485D" w14:paraId="615336DC" w14:textId="77777777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99485D" w:rsidP="00A908A1" w:rsidRDefault="0099485D" w14:paraId="4AA9FD07" w14:textId="77777777">
            <w:pPr>
              <w:jc w:val="both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Rozsah působnosti:</w:t>
            </w:r>
          </w:p>
        </w:tc>
        <w:tc>
          <w:tcPr>
            <w:tcW w:w="693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99485D" w:rsidP="00996927" w:rsidRDefault="0099485D" w14:paraId="765CCDE1" w14:textId="77777777">
            <w:pPr>
              <w:jc w:val="both"/>
              <w:rPr>
                <w:b/>
                <w:sz w:val="24"/>
              </w:rPr>
            </w:pPr>
            <w:r w:rsidRPr="00C27850">
              <w:rPr>
                <w:b/>
                <w:sz w:val="24"/>
              </w:rPr>
              <w:t>Krajský úřad Karlovarského kraje, příspěvkové organizace Karlovarského kraje</w:t>
            </w:r>
          </w:p>
        </w:tc>
      </w:tr>
      <w:tr w:rsidR="0099485D" w:rsidTr="0099485D" w14:paraId="68F27455" w14:textId="77777777">
        <w:trPr>
          <w:trHeight w:val="454"/>
          <w:jc w:val="center"/>
        </w:trPr>
        <w:tc>
          <w:tcPr>
            <w:tcW w:w="217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</w:tcPr>
          <w:p w:rsidR="0099485D" w:rsidP="00A908A1" w:rsidRDefault="0099485D" w14:paraId="506C7528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Číslo jednací: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</w:tcPr>
          <w:p w:rsidR="0099485D" w:rsidP="00A908A1" w:rsidRDefault="0099485D" w14:paraId="6BD75433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Nabývá účinnosti:</w:t>
            </w:r>
          </w:p>
        </w:tc>
        <w:tc>
          <w:tcPr>
            <w:tcW w:w="2126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</w:tcPr>
          <w:p w:rsidR="0099485D" w:rsidP="00A908A1" w:rsidRDefault="0099485D" w14:paraId="3EC60C1C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Počet stran:</w:t>
            </w:r>
          </w:p>
        </w:tc>
        <w:tc>
          <w:tcPr>
            <w:tcW w:w="247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</w:tcPr>
          <w:p w:rsidR="0099485D" w:rsidP="00A908A1" w:rsidRDefault="0099485D" w14:paraId="4ECB5115" w14:textId="77777777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Počet příloh:</w:t>
            </w:r>
          </w:p>
        </w:tc>
      </w:tr>
      <w:tr w:rsidR="0099485D" w:rsidTr="0099485D" w14:paraId="70F3F146" w14:textId="77777777">
        <w:trPr>
          <w:trHeight w:val="454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 w:rsidR="0099485D" w:rsidP="00A908A1" w:rsidRDefault="002A08B6" w14:paraId="3865DBB0" w14:textId="2D109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 CJ  \* MERGEFORMAT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KK/1026/LP/24-1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 w:rsidRPr="00B62BA5" w:rsidR="0099485D" w:rsidP="00A908A1" w:rsidRDefault="00605998" w14:paraId="36A9BD9D" w14:textId="323D5D2B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B62BA5" w:rsidR="0099485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3</w:t>
            </w:r>
            <w:r w:rsidRPr="00B62BA5" w:rsidR="0099485D">
              <w:rPr>
                <w:b/>
                <w:sz w:val="24"/>
              </w:rPr>
              <w:t>. 202</w:t>
            </w:r>
            <w:r w:rsidR="001041F7"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18" w:space="0"/>
              <w:right w:val="single" w:color="auto" w:sz="2" w:space="0"/>
            </w:tcBorders>
          </w:tcPr>
          <w:p w:rsidRPr="0058332A" w:rsidR="0099485D" w:rsidP="00A908A1" w:rsidRDefault="0099485D" w14:paraId="28DBFF3C" w14:textId="77777777">
            <w:pPr>
              <w:suppressAutoHyphens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77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</w:tcBorders>
          </w:tcPr>
          <w:p w:rsidR="0099485D" w:rsidP="00A908A1" w:rsidRDefault="0099485D" w14:paraId="1ADB7A6A" w14:textId="77777777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bookmarkEnd w:id="0"/>
    </w:tbl>
    <w:p w:rsidR="0099485D" w:rsidP="005A3359" w:rsidRDefault="0099485D" w14:paraId="7B44402A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FB2039" w14:paraId="1FC19E69" w14:textId="77777777">
        <w:trPr>
          <w:cantSplit/>
          <w:trHeight w:val="454"/>
          <w:jc w:val="center"/>
        </w:trPr>
        <w:tc>
          <w:tcPr>
            <w:tcW w:w="4682" w:type="dxa"/>
            <w:tcBorders>
              <w:right w:val="nil"/>
            </w:tcBorders>
          </w:tcPr>
          <w:p w:rsidR="00FB2039" w:rsidP="005A3359" w:rsidRDefault="00FB2039" w14:paraId="67CACF55" w14:textId="77777777">
            <w:pPr>
              <w:suppressAutoHyphens/>
              <w:jc w:val="both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Tímto předpisem se ruší předpis číslo: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Pr="005E102E" w:rsidR="00FB2039" w:rsidP="00996927" w:rsidRDefault="009B3F55" w14:paraId="0CB6E330" w14:textId="04F1E6FA">
            <w:pPr>
              <w:pStyle w:val="Nadpis4"/>
              <w:keepNext w:val="0"/>
              <w:suppressAutoHyphens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PR 0</w:t>
            </w:r>
            <w:r w:rsidR="001041F7">
              <w:rPr>
                <w:b/>
                <w:bCs/>
                <w:color w:val="auto"/>
                <w:sz w:val="22"/>
                <w:szCs w:val="22"/>
              </w:rPr>
              <w:t>4</w:t>
            </w:r>
            <w:r>
              <w:rPr>
                <w:b/>
                <w:bCs/>
                <w:color w:val="auto"/>
                <w:sz w:val="22"/>
                <w:szCs w:val="22"/>
              </w:rPr>
              <w:t>/20</w:t>
            </w:r>
            <w:r w:rsidR="001041F7">
              <w:rPr>
                <w:b/>
                <w:bCs/>
                <w:color w:val="auto"/>
                <w:sz w:val="22"/>
                <w:szCs w:val="22"/>
              </w:rPr>
              <w:t>23</w:t>
            </w:r>
          </w:p>
        </w:tc>
      </w:tr>
    </w:tbl>
    <w:p w:rsidR="00FB2039" w:rsidP="005A3359" w:rsidRDefault="00FB2039" w14:paraId="44EAFD9C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B2039" w14:paraId="4F6EA70C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7B59E9" w:rsidR="00FB2039" w:rsidP="005A3359" w:rsidRDefault="00FB2039" w14:paraId="5DD0F7B0" w14:textId="77777777">
            <w:pPr>
              <w:suppressAutoHyphens/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>Originál předpisu je uložen:</w:t>
            </w:r>
          </w:p>
        </w:tc>
        <w:tc>
          <w:tcPr>
            <w:tcW w:w="4680" w:type="dxa"/>
            <w:vAlign w:val="center"/>
          </w:tcPr>
          <w:p w:rsidR="00FB2039" w:rsidP="005A3359" w:rsidRDefault="00A159FF" w14:paraId="6A550235" w14:textId="1E2E21FA">
            <w:pPr>
              <w:suppressAutoHyphens/>
              <w:rPr>
                <w:b/>
                <w:sz w:val="24"/>
              </w:rPr>
            </w:pPr>
            <w:r>
              <w:rPr>
                <w:b/>
                <w:sz w:val="22"/>
              </w:rPr>
              <w:t>odbor legislativní a právní</w:t>
            </w:r>
            <w:r w:rsidR="00EB55DB">
              <w:rPr>
                <w:b/>
                <w:sz w:val="22"/>
              </w:rPr>
              <w:t>, stavební úřad</w:t>
            </w:r>
            <w:r>
              <w:rPr>
                <w:b/>
                <w:sz w:val="22"/>
              </w:rPr>
              <w:t xml:space="preserve"> a</w:t>
            </w:r>
            <w:r w:rsidR="0099485D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krajský živnostenský úřad</w:t>
            </w:r>
          </w:p>
        </w:tc>
      </w:tr>
      <w:tr w:rsidR="00FB2039" w14:paraId="5BF2ECA1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7B59E9" w:rsidR="00FB2039" w:rsidP="005A3359" w:rsidRDefault="00FB2039" w14:paraId="6F2EF98B" w14:textId="77777777">
            <w:pPr>
              <w:suppressAutoHyphens/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 xml:space="preserve">Elektronická podoba předpisu je uložena na </w:t>
            </w:r>
          </w:p>
        </w:tc>
        <w:tc>
          <w:tcPr>
            <w:tcW w:w="4680" w:type="dxa"/>
            <w:vAlign w:val="center"/>
          </w:tcPr>
          <w:p w:rsidRPr="007B59E9" w:rsidR="00FB2039" w:rsidP="005A3359" w:rsidRDefault="0099485D" w14:paraId="5AA1BD69" w14:textId="72BE4160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aplikace Předpisy</w:t>
            </w:r>
            <w:r w:rsidRPr="007B59E9" w:rsidR="00FB20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5636" w14:paraId="40C3B18F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7B59E9" w:rsidR="008C5636" w:rsidP="005A3359" w:rsidRDefault="00724CDA" w14:paraId="18D888F2" w14:textId="77777777">
            <w:pPr>
              <w:suppressAutoHyphens/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>Předpis je zveřejněn na internetových stránkách Karlovarského kraje</w:t>
            </w:r>
          </w:p>
        </w:tc>
        <w:tc>
          <w:tcPr>
            <w:tcW w:w="4680" w:type="dxa"/>
            <w:vAlign w:val="center"/>
          </w:tcPr>
          <w:p w:rsidRPr="007B59E9" w:rsidR="008C5636" w:rsidP="005A3359" w:rsidRDefault="008C5636" w14:paraId="4B94D5A5" w14:textId="77777777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FB2039" w:rsidP="005A3359" w:rsidRDefault="00FB2039" w14:paraId="3DEEC669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686"/>
      </w:tblGrid>
      <w:tr w:rsidR="008407CA" w:rsidTr="008407CA" w14:paraId="6D94D104" w14:textId="77777777">
        <w:trPr>
          <w:cantSplit/>
          <w:trHeight w:val="454"/>
          <w:jc w:val="center"/>
        </w:trPr>
        <w:tc>
          <w:tcPr>
            <w:tcW w:w="4674" w:type="dxa"/>
            <w:tcBorders>
              <w:top w:val="single" w:color="auto" w:sz="12" w:space="0"/>
              <w:bottom w:val="nil"/>
              <w:right w:val="single" w:color="auto" w:sz="4" w:space="0"/>
            </w:tcBorders>
          </w:tcPr>
          <w:p w:rsidR="008407CA" w:rsidP="008407CA" w:rsidRDefault="008407CA" w14:paraId="0FC0707B" w14:textId="77777777">
            <w:pPr>
              <w:suppressAutoHyphens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Za </w:t>
            </w:r>
            <w:r>
              <w:rPr>
                <w:b/>
                <w:i/>
                <w:iCs/>
                <w:sz w:val="22"/>
              </w:rPr>
              <w:t>o</w:t>
            </w:r>
            <w:r w:rsidRPr="008D1F44">
              <w:rPr>
                <w:b/>
                <w:i/>
                <w:iCs/>
                <w:sz w:val="22"/>
              </w:rPr>
              <w:t xml:space="preserve">dbor </w:t>
            </w:r>
            <w:r>
              <w:rPr>
                <w:b/>
                <w:i/>
                <w:iCs/>
                <w:sz w:val="22"/>
              </w:rPr>
              <w:t>legislativní a právní</w:t>
            </w:r>
            <w:r w:rsidRPr="008D1F44">
              <w:rPr>
                <w:b/>
                <w:i/>
                <w:iCs/>
                <w:sz w:val="22"/>
              </w:rPr>
              <w:t xml:space="preserve"> a krajský živnostenský úřad</w:t>
            </w:r>
            <w:r>
              <w:rPr>
                <w:b/>
                <w:i/>
                <w:iCs/>
                <w:sz w:val="24"/>
              </w:rPr>
              <w:t xml:space="preserve"> schválil:</w:t>
            </w:r>
          </w:p>
        </w:tc>
        <w:tc>
          <w:tcPr>
            <w:tcW w:w="4686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bottom"/>
          </w:tcPr>
          <w:p w:rsidRPr="00F00C7D" w:rsidR="008407CA" w:rsidP="008407CA" w:rsidRDefault="008407CA" w14:paraId="57E62A68" w14:textId="74933E55">
            <w:pPr>
              <w:suppressAutoHyphens/>
              <w:rPr>
                <w:b/>
                <w:bCs/>
                <w:sz w:val="24"/>
                <w:szCs w:val="24"/>
              </w:rPr>
            </w:pPr>
            <w:r w:rsidRPr="00F00C7D">
              <w:rPr>
                <w:b/>
                <w:bCs/>
                <w:sz w:val="24"/>
                <w:szCs w:val="24"/>
              </w:rPr>
              <w:t xml:space="preserve">Mgr. Monika Havlová, </w:t>
            </w:r>
          </w:p>
          <w:p w:rsidR="008407CA" w:rsidP="008407CA" w:rsidRDefault="008407CA" w14:paraId="3656B9AB" w14:textId="06138BB2">
            <w:pPr>
              <w:suppressAutoHyphens/>
              <w:rPr>
                <w:sz w:val="24"/>
              </w:rPr>
            </w:pPr>
            <w:r w:rsidRPr="00F00C7D">
              <w:rPr>
                <w:b/>
                <w:bCs/>
                <w:sz w:val="24"/>
                <w:szCs w:val="24"/>
              </w:rPr>
              <w:t>vedoucí odboru legislativního a právního, stavební úřad a krajsk</w:t>
            </w:r>
            <w:r w:rsidRPr="00F00C7D" w:rsidR="00F00C7D">
              <w:rPr>
                <w:b/>
                <w:bCs/>
                <w:sz w:val="24"/>
                <w:szCs w:val="24"/>
              </w:rPr>
              <w:t>ý</w:t>
            </w:r>
            <w:r w:rsidRPr="00F00C7D">
              <w:rPr>
                <w:b/>
                <w:bCs/>
                <w:sz w:val="24"/>
                <w:szCs w:val="24"/>
              </w:rPr>
              <w:t xml:space="preserve"> živnostensk</w:t>
            </w:r>
            <w:r w:rsidRPr="00F00C7D" w:rsidR="00F00C7D">
              <w:rPr>
                <w:b/>
                <w:bCs/>
                <w:sz w:val="24"/>
                <w:szCs w:val="24"/>
              </w:rPr>
              <w:t>ý</w:t>
            </w:r>
            <w:r w:rsidRPr="00F00C7D">
              <w:rPr>
                <w:b/>
                <w:bCs/>
                <w:sz w:val="24"/>
                <w:szCs w:val="24"/>
              </w:rPr>
              <w:t xml:space="preserve"> úřad</w:t>
            </w:r>
          </w:p>
        </w:tc>
      </w:tr>
      <w:tr w:rsidR="008407CA" w:rsidTr="006F508C" w14:paraId="441EECAC" w14:textId="77777777">
        <w:trPr>
          <w:cantSplit/>
          <w:trHeight w:val="710" w:hRule="exact"/>
          <w:jc w:val="center"/>
        </w:trPr>
        <w:tc>
          <w:tcPr>
            <w:tcW w:w="467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8407CA" w:rsidP="008407CA" w:rsidRDefault="008407CA" w14:paraId="45FB0818" w14:textId="77777777">
            <w:pPr>
              <w:suppressAutoHyphens/>
              <w:rPr>
                <w:b/>
                <w:bCs/>
                <w:sz w:val="24"/>
              </w:rPr>
            </w:pPr>
          </w:p>
        </w:tc>
        <w:tc>
          <w:tcPr>
            <w:tcW w:w="4686" w:type="dxa"/>
            <w:vMerge/>
            <w:tcBorders>
              <w:left w:val="single" w:color="auto" w:sz="4" w:space="0"/>
              <w:bottom w:val="single" w:color="auto" w:sz="4" w:space="0"/>
            </w:tcBorders>
          </w:tcPr>
          <w:p w:rsidRPr="005A3359" w:rsidR="008407CA" w:rsidP="008407CA" w:rsidRDefault="008407CA" w14:paraId="12DFEEE8" w14:textId="7A78C062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8407CA" w:rsidTr="6F53692B" w14:paraId="450C51E8" w14:textId="77777777">
        <w:trPr>
          <w:cantSplit/>
          <w:trHeight w:val="454"/>
          <w:jc w:val="center"/>
        </w:trPr>
        <w:tc>
          <w:tcPr>
            <w:tcW w:w="467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="008407CA" w:rsidP="00E856A5" w:rsidRDefault="0057615C" w14:paraId="5236DC2F" w14:textId="6C23D621">
            <w:pPr>
              <w:suppressAutoHyphens/>
              <w:rPr>
                <w:b/>
                <w:bCs/>
                <w:i/>
                <w:iCs/>
                <w:sz w:val="22"/>
              </w:rPr>
            </w:pPr>
            <w:r w:rsidRPr="0057615C">
              <w:rPr>
                <w:b/>
                <w:bCs/>
                <w:i/>
                <w:iCs/>
                <w:sz w:val="22"/>
              </w:rPr>
              <w:t>Rada kraje schválila usnesením č.</w:t>
            </w:r>
            <w:r w:rsidR="00E856A5">
              <w:rPr>
                <w:b/>
                <w:bCs/>
                <w:i/>
                <w:iCs/>
                <w:sz w:val="22"/>
              </w:rPr>
              <w:t> </w:t>
            </w:r>
            <w:r w:rsidRPr="0057615C">
              <w:rPr>
                <w:b/>
                <w:bCs/>
                <w:i/>
                <w:iCs/>
                <w:sz w:val="22"/>
              </w:rPr>
              <w:t>RK</w:t>
            </w:r>
            <w:r w:rsidR="00E856A5">
              <w:rPr>
                <w:b/>
                <w:bCs/>
                <w:i/>
                <w:iCs/>
                <w:sz w:val="22"/>
              </w:rPr>
              <w:t> </w:t>
            </w:r>
            <w:r w:rsidR="003A7A63">
              <w:rPr>
                <w:b/>
                <w:bCs/>
                <w:i/>
                <w:iCs/>
                <w:sz w:val="22"/>
              </w:rPr>
              <w:t>278/03</w:t>
            </w:r>
            <w:r>
              <w:rPr>
                <w:b/>
                <w:bCs/>
                <w:i/>
                <w:iCs/>
                <w:sz w:val="22"/>
              </w:rPr>
              <w:t>/2</w:t>
            </w:r>
            <w:r w:rsidR="004C3A2F">
              <w:rPr>
                <w:b/>
                <w:bCs/>
                <w:i/>
                <w:iCs/>
                <w:sz w:val="22"/>
              </w:rPr>
              <w:t>4</w:t>
            </w:r>
            <w:r w:rsidR="00E856A5">
              <w:rPr>
                <w:b/>
                <w:bCs/>
                <w:i/>
                <w:iCs/>
                <w:sz w:val="22"/>
              </w:rPr>
              <w:t xml:space="preserve"> </w:t>
            </w:r>
            <w:r w:rsidRPr="0057615C">
              <w:rPr>
                <w:b/>
                <w:bCs/>
                <w:i/>
                <w:iCs/>
                <w:sz w:val="22"/>
              </w:rPr>
              <w:t xml:space="preserve">ze dne </w:t>
            </w:r>
            <w:r w:rsidR="004C3A2F">
              <w:rPr>
                <w:b/>
                <w:bCs/>
                <w:i/>
                <w:iCs/>
                <w:sz w:val="22"/>
              </w:rPr>
              <w:t>4</w:t>
            </w:r>
            <w:r w:rsidRPr="0057615C">
              <w:rPr>
                <w:b/>
                <w:bCs/>
                <w:i/>
                <w:iCs/>
                <w:sz w:val="22"/>
              </w:rPr>
              <w:t xml:space="preserve">. </w:t>
            </w:r>
            <w:r w:rsidR="004C3A2F">
              <w:rPr>
                <w:b/>
                <w:bCs/>
                <w:i/>
                <w:iCs/>
                <w:sz w:val="22"/>
              </w:rPr>
              <w:t>3</w:t>
            </w:r>
            <w:r w:rsidRPr="0057615C">
              <w:rPr>
                <w:b/>
                <w:bCs/>
                <w:i/>
                <w:iCs/>
                <w:sz w:val="22"/>
              </w:rPr>
              <w:t>. 202</w:t>
            </w:r>
            <w:r w:rsidR="004C3A2F">
              <w:rPr>
                <w:b/>
                <w:bCs/>
                <w:i/>
                <w:iCs/>
                <w:sz w:val="22"/>
              </w:rPr>
              <w:t>4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bottom"/>
          </w:tcPr>
          <w:p w:rsidR="008407CA" w:rsidP="008407CA" w:rsidRDefault="008407CA" w14:paraId="049F31CB" w14:textId="77777777">
            <w:pPr>
              <w:suppressAutoHyphens/>
              <w:rPr>
                <w:b/>
                <w:sz w:val="24"/>
              </w:rPr>
            </w:pPr>
          </w:p>
        </w:tc>
      </w:tr>
      <w:tr w:rsidR="008407CA" w:rsidTr="6F53692B" w14:paraId="6B480C95" w14:textId="77777777">
        <w:trPr>
          <w:cantSplit/>
          <w:trHeight w:val="1083"/>
          <w:jc w:val="center"/>
        </w:trPr>
        <w:tc>
          <w:tcPr>
            <w:tcW w:w="4674" w:type="dxa"/>
            <w:tcBorders>
              <w:top w:val="nil"/>
              <w:bottom w:val="single" w:color="auto" w:sz="12" w:space="0"/>
              <w:right w:val="single" w:color="auto" w:sz="4" w:space="0"/>
            </w:tcBorders>
          </w:tcPr>
          <w:p w:rsidR="008407CA" w:rsidP="008407CA" w:rsidRDefault="008407CA" w14:paraId="53128261" w14:textId="77777777">
            <w:pPr>
              <w:suppressAutoHyphens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bottom"/>
          </w:tcPr>
          <w:p w:rsidR="00286FD7" w:rsidP="008407CA" w:rsidRDefault="008407CA" w14:paraId="6E5228C1" w14:textId="77777777">
            <w:pPr>
              <w:pStyle w:val="Nadpis5"/>
              <w:keepNext w:val="0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Ing. Petr Kulhánek, </w:t>
            </w:r>
          </w:p>
          <w:p w:rsidR="008407CA" w:rsidP="00286FD7" w:rsidRDefault="008407CA" w14:paraId="14603366" w14:textId="54FFA462">
            <w:pPr>
              <w:pStyle w:val="Nadpis5"/>
              <w:keepNext w:val="0"/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hejtman</w:t>
            </w:r>
            <w:r w:rsidR="00286FD7">
              <w:rPr>
                <w:sz w:val="24"/>
              </w:rPr>
              <w:t xml:space="preserve"> Karlovarského kraje</w:t>
            </w:r>
          </w:p>
        </w:tc>
      </w:tr>
    </w:tbl>
    <w:p w:rsidR="00FB2039" w:rsidP="005A3359" w:rsidRDefault="00FB2039" w14:paraId="62486C05" w14:textId="77777777">
      <w:pPr>
        <w:suppressAutoHyphens/>
        <w:jc w:val="both"/>
        <w:rPr>
          <w:sz w:val="24"/>
        </w:rPr>
      </w:pPr>
    </w:p>
    <w:tbl>
      <w:tblPr>
        <w:tblW w:w="9360" w:type="dxa"/>
        <w:jc w:val="center"/>
        <w:tblBorders>
          <w:top w:val="single" w:color="auto" w:sz="18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63"/>
      </w:tblGrid>
      <w:tr w:rsidR="00FB2039" w14:paraId="4F0C3DB1" w14:textId="77777777">
        <w:trPr>
          <w:cantSplit/>
          <w:trHeight w:val="540"/>
          <w:jc w:val="center"/>
        </w:trPr>
        <w:tc>
          <w:tcPr>
            <w:tcW w:w="4697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="00FB2039" w:rsidP="005A3359" w:rsidRDefault="00FB2039" w14:paraId="7E5011A9" w14:textId="77777777">
            <w:pPr>
              <w:suppressAutoHyphens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Obdrží:</w:t>
            </w:r>
          </w:p>
        </w:tc>
        <w:tc>
          <w:tcPr>
            <w:tcW w:w="4663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 w:rsidR="00FB2039" w:rsidP="005A3359" w:rsidRDefault="00FB2039" w14:paraId="797FA938" w14:textId="77777777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všichni vedoucí odborů krajského úřadu </w:t>
            </w:r>
          </w:p>
        </w:tc>
      </w:tr>
    </w:tbl>
    <w:p w:rsidR="00984476" w:rsidP="005A3359" w:rsidRDefault="00E33D0E" w14:paraId="4101652C" w14:textId="77777777">
      <w:pPr>
        <w:suppressAutoHyphens/>
        <w:jc w:val="both"/>
        <w:rPr>
          <w:b/>
        </w:rPr>
      </w:pPr>
      <w:r>
        <w:br w:type="page"/>
      </w:r>
    </w:p>
    <w:p w:rsidRPr="005E102E" w:rsidR="00984476" w:rsidP="005A3359" w:rsidRDefault="00984476" w14:paraId="017CCF26" w14:textId="77777777">
      <w:pPr>
        <w:suppressAutoHyphens/>
        <w:rPr>
          <w:b/>
          <w:sz w:val="22"/>
          <w:szCs w:val="22"/>
        </w:rPr>
      </w:pPr>
      <w:r w:rsidRPr="005E102E">
        <w:rPr>
          <w:sz w:val="22"/>
          <w:szCs w:val="22"/>
        </w:rPr>
        <w:lastRenderedPageBreak/>
        <w:t>OBSAH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8"/>
        <w:gridCol w:w="6461"/>
        <w:gridCol w:w="1303"/>
      </w:tblGrid>
      <w:tr w:rsidRPr="005E102E" w:rsidR="00233336" w:rsidTr="005E102E" w14:paraId="6FB2D586" w14:textId="77777777">
        <w:tc>
          <w:tcPr>
            <w:tcW w:w="1308" w:type="dxa"/>
            <w:shd w:val="clear" w:color="auto" w:fill="auto"/>
          </w:tcPr>
          <w:p w:rsidRPr="005E102E" w:rsidR="00984476" w:rsidP="005A3359" w:rsidRDefault="00984476" w14:paraId="4B99056E" w14:textId="7777777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shd w:val="clear" w:color="auto" w:fill="auto"/>
          </w:tcPr>
          <w:p w:rsidRPr="005E102E" w:rsidR="00984476" w:rsidP="005A3359" w:rsidRDefault="00984476" w14:paraId="1299C43A" w14:textId="7777777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Pr="005E102E" w:rsidR="00984476" w:rsidP="005A3359" w:rsidRDefault="00984476" w14:paraId="7251CED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Strana</w:t>
            </w:r>
          </w:p>
        </w:tc>
      </w:tr>
      <w:tr w:rsidRPr="006C6257" w:rsidR="00233336" w:rsidTr="005E102E" w14:paraId="46034264" w14:textId="77777777">
        <w:tc>
          <w:tcPr>
            <w:tcW w:w="1308" w:type="dxa"/>
            <w:shd w:val="clear" w:color="auto" w:fill="auto"/>
            <w:vAlign w:val="center"/>
          </w:tcPr>
          <w:p w:rsidRPr="006C6257" w:rsidR="00984476" w:rsidP="005A3359" w:rsidRDefault="00984476" w14:paraId="443A994B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Část první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6C6257" w:rsidR="00984476" w:rsidP="005A3359" w:rsidRDefault="00984476" w14:paraId="6CF63403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Úvod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6C6257" w:rsidR="00984476" w:rsidP="005A3359" w:rsidRDefault="00984476" w14:paraId="4DDBEF00" w14:textId="7777777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Pr="005E102E" w:rsidR="00233336" w:rsidTr="005E102E" w14:paraId="17F98875" w14:textId="77777777">
        <w:tc>
          <w:tcPr>
            <w:tcW w:w="1308" w:type="dxa"/>
            <w:shd w:val="clear" w:color="auto" w:fill="auto"/>
            <w:vAlign w:val="center"/>
          </w:tcPr>
          <w:p w:rsidRPr="005E102E" w:rsidR="00984476" w:rsidP="005A3359" w:rsidRDefault="00984476" w14:paraId="686E89AB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Čl. 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5E102E" w:rsidR="00984476" w:rsidP="005A3359" w:rsidRDefault="00984476" w14:paraId="117461EB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Úvodní ustanovení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921A5C" w:rsidR="00984476" w:rsidP="005A3359" w:rsidRDefault="00984476" w14:paraId="5FCD5EC4" w14:textId="77777777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  <w:r w:rsidRPr="00114A5F">
              <w:rPr>
                <w:sz w:val="22"/>
                <w:szCs w:val="22"/>
              </w:rPr>
              <w:t>3</w:t>
            </w:r>
          </w:p>
        </w:tc>
      </w:tr>
      <w:tr w:rsidRPr="005E102E" w:rsidR="00233336" w:rsidTr="005E102E" w14:paraId="5D317DA7" w14:textId="77777777">
        <w:tc>
          <w:tcPr>
            <w:tcW w:w="1308" w:type="dxa"/>
            <w:shd w:val="clear" w:color="auto" w:fill="auto"/>
            <w:vAlign w:val="center"/>
          </w:tcPr>
          <w:p w:rsidRPr="005E102E" w:rsidR="00984476" w:rsidP="005A3359" w:rsidRDefault="00984476" w14:paraId="02BFBBA3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Čl. 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5E102E" w:rsidR="00984476" w:rsidP="005A3359" w:rsidRDefault="00984476" w14:paraId="06C59550" w14:textId="77777777">
            <w:pPr>
              <w:suppressAutoHyphens/>
              <w:rPr>
                <w:b/>
                <w:sz w:val="22"/>
                <w:szCs w:val="22"/>
              </w:rPr>
            </w:pPr>
            <w:r w:rsidRPr="005E102E">
              <w:rPr>
                <w:sz w:val="22"/>
                <w:szCs w:val="22"/>
              </w:rPr>
              <w:t>Základní pojmy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921A5C" w:rsidR="00984476" w:rsidP="005A3359" w:rsidRDefault="00CC48E3" w14:paraId="2598DEE6" w14:textId="0C00B739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Pr="006C6257" w:rsidR="00233336" w:rsidTr="005E102E" w14:paraId="2BA2E339" w14:textId="77777777">
        <w:tc>
          <w:tcPr>
            <w:tcW w:w="1308" w:type="dxa"/>
            <w:shd w:val="clear" w:color="auto" w:fill="auto"/>
            <w:vAlign w:val="center"/>
          </w:tcPr>
          <w:p w:rsidRPr="006C6257" w:rsidR="00984476" w:rsidP="005A3359" w:rsidRDefault="00984476" w14:paraId="356CE0BB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Část druhá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6C6257" w:rsidR="00984476" w:rsidP="005A3359" w:rsidRDefault="00984476" w14:paraId="40F9ED7E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6C6257">
              <w:rPr>
                <w:b/>
                <w:i/>
                <w:sz w:val="22"/>
                <w:szCs w:val="22"/>
              </w:rPr>
              <w:t>Poskytnutí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921A5C" w:rsidR="00984476" w:rsidP="005A3359" w:rsidRDefault="00984476" w14:paraId="3461D779" w14:textId="77777777">
            <w:pPr>
              <w:suppressAutoHyphens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Pr="00DB7D63" w:rsidR="00233336" w:rsidTr="005E102E" w14:paraId="04265B29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473A60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4E657A" w14:paraId="26A5B24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 xml:space="preserve">Zásady a </w:t>
            </w:r>
            <w:r w:rsidRPr="00DB7D63" w:rsidR="00984476">
              <w:rPr>
                <w:sz w:val="22"/>
                <w:szCs w:val="22"/>
              </w:rPr>
              <w:t>podmínky pro poskytnutí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A94B4D" w14:paraId="78941E47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1E071964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4C308417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IV.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08B1B43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Způsoby poskytnutí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A94B4D" w14:paraId="29B4EA1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6</w:t>
            </w:r>
          </w:p>
        </w:tc>
      </w:tr>
      <w:tr w:rsidRPr="00DB7D63" w:rsidR="00233336" w:rsidTr="005E102E" w14:paraId="6B47B4E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066A7C6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9264C10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Příprava nového dotačního období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1B87E3DE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6</w:t>
            </w:r>
          </w:p>
        </w:tc>
      </w:tr>
      <w:tr w:rsidRPr="00DB7D63" w:rsidR="00233336" w:rsidTr="005E102E" w14:paraId="46F93BD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73EFA5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0E45537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Vznik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75697EEC" w14:textId="2DA59FB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Pr="00DB7D63" w:rsidR="00233336" w:rsidTr="005E102E" w14:paraId="54E3374E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A69995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80B4C9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Změna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44B0A208" w14:textId="17702D2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Pr="00DB7D63" w:rsidR="00233336" w:rsidTr="005E102E" w14:paraId="1B85937D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05957FE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VIII.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71812F1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Zrušení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03853697" w14:textId="1281C27A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Pr="00DB7D63" w:rsidR="00233336" w:rsidTr="005E102E" w14:paraId="7EB6933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DCF27D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IX.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7C60EBB6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Vyhlášení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49832D1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8</w:t>
            </w:r>
          </w:p>
        </w:tc>
      </w:tr>
      <w:tr w:rsidRPr="00DB7D63" w:rsidR="00233336" w:rsidTr="005E102E" w14:paraId="3D2841F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BC071A8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třetí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75F5D5DA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Příjem a administrace programových dotací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3CF2D8B6" w14:textId="7777777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Pr="00DB7D63" w:rsidR="00233336" w:rsidTr="005E102E" w14:paraId="6440CFC8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72CFFC3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BD21C6F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Příprava příjmu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5D369756" w14:textId="170E81B6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48E3">
              <w:rPr>
                <w:sz w:val="22"/>
                <w:szCs w:val="22"/>
              </w:rPr>
              <w:t>9</w:t>
            </w:r>
          </w:p>
        </w:tc>
      </w:tr>
      <w:tr w:rsidRPr="00DB7D63" w:rsidR="00233336" w:rsidTr="005E102E" w14:paraId="5D97FC25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1D1556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D9A270E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Registrace žadatelů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446DE71A" w14:textId="1A0A2C1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</w:tr>
      <w:tr w:rsidRPr="00DB7D63" w:rsidR="00233336" w:rsidTr="005E102E" w14:paraId="45D8B077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574D78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61072C5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Příjem a podání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33C02" w14:paraId="3E1FE5D4" w14:textId="11D7BF3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</w:tr>
      <w:tr w:rsidRPr="00DB7D63" w:rsidR="00233336" w:rsidTr="005E102E" w14:paraId="119ADEDE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EBD0E2E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3B007B9" w14:textId="77777777">
            <w:pPr>
              <w:suppressAutoHyphens/>
              <w:rPr>
                <w:i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Formální kontrola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C33C02" w:rsidR="00984476" w:rsidP="005A3359" w:rsidRDefault="00C33C02" w14:paraId="4737E36C" w14:textId="0B32F3B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33C02">
              <w:rPr>
                <w:sz w:val="22"/>
                <w:szCs w:val="22"/>
              </w:rPr>
              <w:t>9</w:t>
            </w:r>
          </w:p>
        </w:tc>
      </w:tr>
      <w:tr w:rsidRPr="00DB7D63" w:rsidR="00233336" w:rsidTr="005E102E" w14:paraId="623B773D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4A7A2C8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čtvrtá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11F6889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Příjem a administrace individuálních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0FB78278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Pr="00DB7D63" w:rsidR="00233336" w:rsidTr="005E102E" w14:paraId="4CAC7A6E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7C1E8F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C1E63F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Příprava příjmu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4B73E586" w14:textId="26476E5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0</w:t>
            </w:r>
          </w:p>
        </w:tc>
      </w:tr>
      <w:tr w:rsidRPr="00DB7D63" w:rsidR="00233336" w:rsidTr="005E102E" w14:paraId="518E9490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F58E0B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09BB6A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Registrace žadatelů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48DF98D7" w14:textId="133B65A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0</w:t>
            </w:r>
          </w:p>
        </w:tc>
      </w:tr>
      <w:tr w:rsidRPr="00DB7D63" w:rsidR="00233336" w:rsidTr="005E102E" w14:paraId="40F6E9A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60741F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EA65A4D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Příjem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394C502F" w14:textId="5F8ABCA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0</w:t>
            </w:r>
          </w:p>
        </w:tc>
      </w:tr>
      <w:tr w:rsidRPr="00DB7D63" w:rsidR="00233336" w:rsidTr="005E102E" w14:paraId="0E6F9DB0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18EAB03A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70D758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Formální kontrola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60063D61" w14:textId="7A166AA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Pr="00DB7D63" w:rsidR="00233336" w:rsidTr="005E102E" w14:paraId="3B8EC4D5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56479D0C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pátá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38487A0" w14:textId="77777777">
            <w:pPr>
              <w:suppressAutoHyphens/>
              <w:rPr>
                <w:b/>
                <w:i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Administrace žádostí – společná ustanovení (programové a individuální dotace)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1FC39945" w14:textId="7777777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Pr="00DB7D63" w:rsidR="00233336" w:rsidTr="005E102E" w14:paraId="6372EC59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16C8D755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XVIII.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1DA33E5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Projednání žádostí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39F18D26" w14:textId="186646A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1</w:t>
            </w:r>
          </w:p>
        </w:tc>
      </w:tr>
      <w:tr w:rsidRPr="00DB7D63" w:rsidR="00233336" w:rsidTr="005E102E" w14:paraId="11DC601B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04601BE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XIX.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B53919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Rozhodnutí o poskytnutí dotace a uzavření veřejnoprávní smlouvy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5D0116D1" w14:textId="21ED51F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Pr="00DB7D63" w:rsidR="00233336" w:rsidTr="005E102E" w14:paraId="4A2D5117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FB6BB8F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C4FC00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Vyplácení finančních prostředků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4E1E336A" w14:textId="5B336BD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2</w:t>
            </w:r>
          </w:p>
        </w:tc>
      </w:tr>
      <w:tr w:rsidRPr="00DB7D63" w:rsidR="00233336" w:rsidTr="005E102E" w14:paraId="310423BA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73237B3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šestá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109B88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Finanční vypořádání, kontrola a monitoring dotací – společná část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0562CB0E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Pr="00DB7D63" w:rsidR="00233336" w:rsidTr="005E102E" w14:paraId="11F0C962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79C86BE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7110CFB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Finanční vypořádání dotace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33CFEC6B" w14:textId="4F180B9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Pr="00DB7D63" w:rsidR="00233336" w:rsidTr="005E102E" w14:paraId="67F1484A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18EE6CF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5A6F9A6B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Porušení rozpočtové kázně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423D4B9D" w14:textId="719673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3</w:t>
            </w:r>
          </w:p>
        </w:tc>
      </w:tr>
      <w:tr w:rsidRPr="00DB7D63" w:rsidR="00233336" w:rsidTr="005E102E" w14:paraId="1EB5FC01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297C4AF7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C1F35B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Zásady kontroly a veřejnosprávní kontrola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CC48E3" w14:paraId="0EB5E791" w14:textId="71C68AF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Pr="00DB7D63" w:rsidR="00233336" w:rsidTr="005E102E" w14:paraId="5EEC889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01FF9C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A8B1B48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Monitorování dotačního programu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632BF140" w14:textId="26D287E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4</w:t>
            </w:r>
          </w:p>
        </w:tc>
      </w:tr>
      <w:tr w:rsidRPr="00DB7D63" w:rsidR="00233336" w:rsidTr="005E102E" w14:paraId="48DBCBF9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74D4B226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C6917A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Monitorování individuálních dotací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111B77A1" w14:textId="42AB96E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4</w:t>
            </w:r>
          </w:p>
        </w:tc>
      </w:tr>
      <w:tr w:rsidRPr="00DB7D63" w:rsidR="00233336" w:rsidTr="005E102E" w14:paraId="680A6297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7CDDE1F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Část sedmá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477279B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b/>
                <w:i/>
                <w:sz w:val="22"/>
                <w:szCs w:val="22"/>
              </w:rPr>
              <w:t>Závěr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984476" w14:paraId="34CE0A41" w14:textId="777777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Pr="00DB7D63" w:rsidR="00233336" w:rsidTr="005E102E" w14:paraId="0DBA9E0F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0A2730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2A9DF7F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Uzavření žádostí, dotačních programů a individuálních dotací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5DA96121" w14:textId="705378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1C66D43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CA58002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30EE7B24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Technická a odborná podpora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B3522C" w14:paraId="32DF9E93" w14:textId="329E764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5DC0A11C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6C7A7701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XXVIII.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6C69C343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Přechodná ustanovení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526D80A2" w14:textId="4490919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C33C02">
              <w:rPr>
                <w:sz w:val="22"/>
                <w:szCs w:val="22"/>
              </w:rPr>
              <w:t>5</w:t>
            </w:r>
          </w:p>
        </w:tc>
      </w:tr>
      <w:tr w:rsidRPr="00DB7D63" w:rsidR="00233336" w:rsidTr="005E102E" w14:paraId="50531DB3" w14:textId="77777777">
        <w:tc>
          <w:tcPr>
            <w:tcW w:w="1308" w:type="dxa"/>
            <w:shd w:val="clear" w:color="auto" w:fill="auto"/>
            <w:vAlign w:val="center"/>
          </w:tcPr>
          <w:p w:rsidRPr="00DB7D63" w:rsidR="00984476" w:rsidP="005A3359" w:rsidRDefault="00984476" w14:paraId="354F396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Čl. XXIX.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Pr="00DB7D63" w:rsidR="00984476" w:rsidP="005A3359" w:rsidRDefault="00984476" w14:paraId="43A86AC9" w14:textId="77777777">
            <w:pPr>
              <w:suppressAutoHyphens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Závěrečná ustanovení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Pr="00DB7D63" w:rsidR="00984476" w:rsidP="005A3359" w:rsidRDefault="00683F07" w14:paraId="2847A633" w14:textId="524A961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B7D63">
              <w:rPr>
                <w:sz w:val="22"/>
                <w:szCs w:val="22"/>
              </w:rPr>
              <w:t>1</w:t>
            </w:r>
            <w:r w:rsidR="004E61C6">
              <w:rPr>
                <w:sz w:val="22"/>
                <w:szCs w:val="22"/>
              </w:rPr>
              <w:t>6</w:t>
            </w:r>
          </w:p>
        </w:tc>
      </w:tr>
    </w:tbl>
    <w:p w:rsidRPr="00372C7D" w:rsidR="00D1184F" w:rsidP="00C171DA" w:rsidRDefault="00984476" w14:paraId="0D867F6F" w14:textId="77777777">
      <w:pPr>
        <w:suppressAutoHyphens/>
        <w:spacing w:before="120"/>
        <w:jc w:val="both"/>
        <w:rPr>
          <w:b/>
          <w:bCs/>
          <w:sz w:val="22"/>
          <w:szCs w:val="22"/>
          <w:lang w:val="x-none" w:eastAsia="x-none"/>
        </w:rPr>
      </w:pPr>
      <w:r w:rsidRPr="00246189">
        <w:rPr>
          <w:i/>
        </w:rPr>
        <w:br w:type="page"/>
      </w:r>
      <w:bookmarkStart w:name="_Toc526920561" w:id="1"/>
      <w:r w:rsidRPr="00372C7D" w:rsidR="00D1184F">
        <w:rPr>
          <w:b/>
          <w:bCs/>
          <w:sz w:val="22"/>
          <w:szCs w:val="22"/>
          <w:lang w:val="x-none" w:eastAsia="x-none"/>
        </w:rPr>
        <w:lastRenderedPageBreak/>
        <w:t>Rada Karlovarského kraje (dále jen „rada“ a „kraj“) se u</w:t>
      </w:r>
      <w:r w:rsidR="008F26E8">
        <w:rPr>
          <w:b/>
          <w:bCs/>
          <w:sz w:val="22"/>
          <w:szCs w:val="22"/>
          <w:lang w:val="x-none" w:eastAsia="x-none"/>
        </w:rPr>
        <w:t>snesla na těchto pravidlech pro </w:t>
      </w:r>
      <w:r w:rsidR="00D1184F">
        <w:rPr>
          <w:b/>
          <w:bCs/>
          <w:sz w:val="22"/>
          <w:szCs w:val="22"/>
          <w:lang w:eastAsia="x-none"/>
        </w:rPr>
        <w:t>poskytování dotací a jejich administraci</w:t>
      </w:r>
      <w:r w:rsidR="00A16FEB">
        <w:rPr>
          <w:b/>
          <w:bCs/>
          <w:sz w:val="22"/>
          <w:szCs w:val="22"/>
          <w:lang w:eastAsia="x-none"/>
        </w:rPr>
        <w:t xml:space="preserve"> (dále jen „předpis“)</w:t>
      </w:r>
      <w:r w:rsidRPr="00372C7D" w:rsidR="00D1184F">
        <w:rPr>
          <w:b/>
          <w:bCs/>
          <w:sz w:val="22"/>
          <w:szCs w:val="22"/>
          <w:lang w:val="x-none" w:eastAsia="x-none"/>
        </w:rPr>
        <w:t>:</w:t>
      </w:r>
    </w:p>
    <w:p w:rsidR="00984476" w:rsidP="00C52DAD" w:rsidRDefault="00984476" w14:paraId="62EBF3C5" w14:textId="78A7C3B4">
      <w:pPr>
        <w:pStyle w:val="Nadpis1"/>
        <w:keepNext w:val="0"/>
        <w:widowControl/>
        <w:suppressAutoHyphens/>
        <w:jc w:val="both"/>
        <w:rPr>
          <w:sz w:val="22"/>
          <w:szCs w:val="22"/>
        </w:rPr>
      </w:pPr>
    </w:p>
    <w:p w:rsidRPr="00C52DAD" w:rsidR="00C52DAD" w:rsidP="00C52DAD" w:rsidRDefault="00C52DAD" w14:paraId="570BB937" w14:textId="77777777"/>
    <w:p w:rsidRPr="00984476" w:rsidR="00984476" w:rsidP="00452CA4" w:rsidRDefault="00984476" w14:paraId="7165ED76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984476">
        <w:rPr>
          <w:b/>
          <w:i/>
          <w:sz w:val="22"/>
          <w:szCs w:val="22"/>
        </w:rPr>
        <w:t>Část první</w:t>
      </w:r>
      <w:bookmarkEnd w:id="1"/>
    </w:p>
    <w:p w:rsidRPr="00830A40" w:rsidR="00984476" w:rsidP="00452CA4" w:rsidRDefault="00984476" w14:paraId="7F7A0622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62" w:id="2"/>
      <w:r w:rsidRPr="00830A40">
        <w:rPr>
          <w:b/>
          <w:caps/>
          <w:sz w:val="22"/>
          <w:szCs w:val="22"/>
        </w:rPr>
        <w:t>Úvod</w:t>
      </w:r>
      <w:bookmarkEnd w:id="2"/>
    </w:p>
    <w:p w:rsidR="00452CA4" w:rsidP="00452CA4" w:rsidRDefault="00452CA4" w14:paraId="0F999145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3" w:id="3"/>
    </w:p>
    <w:p w:rsidRPr="00984476" w:rsidR="00984476" w:rsidP="00452CA4" w:rsidRDefault="00984476" w14:paraId="783AF31A" w14:textId="304985AA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984476">
        <w:rPr>
          <w:b/>
          <w:sz w:val="22"/>
          <w:szCs w:val="22"/>
        </w:rPr>
        <w:t>Čl. I.</w:t>
      </w:r>
      <w:bookmarkEnd w:id="3"/>
    </w:p>
    <w:p w:rsidRPr="00984476" w:rsidR="00984476" w:rsidP="00452CA4" w:rsidRDefault="00984476" w14:paraId="5319B3F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4" w:id="4"/>
      <w:r w:rsidRPr="00984476">
        <w:rPr>
          <w:b/>
          <w:sz w:val="22"/>
          <w:szCs w:val="22"/>
        </w:rPr>
        <w:t>Úvodní ustanovení</w:t>
      </w:r>
      <w:bookmarkEnd w:id="4"/>
    </w:p>
    <w:p w:rsidR="00984476" w:rsidP="00452CA4" w:rsidRDefault="00B12427" w14:paraId="682C081C" w14:textId="67EA7D09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Tento předpis</w:t>
      </w:r>
      <w:r w:rsidRPr="00EC14F6" w:rsidR="00984476">
        <w:rPr>
          <w:rFonts w:ascii="Times New Roman" w:hAnsi="Times New Roman" w:eastAsia="Times New Roman"/>
          <w:b w:val="0"/>
        </w:rPr>
        <w:t xml:space="preserve"> upravuje j</w:t>
      </w:r>
      <w:r w:rsidRPr="00A20D6C" w:rsidR="00984476">
        <w:rPr>
          <w:rFonts w:ascii="Times New Roman" w:hAnsi="Times New Roman" w:eastAsia="Times New Roman"/>
          <w:b w:val="0"/>
        </w:rPr>
        <w:t xml:space="preserve">ednotný postup při poskytování a administraci účelově určených finančních </w:t>
      </w:r>
      <w:r w:rsidRPr="00246189" w:rsidR="00984476">
        <w:rPr>
          <w:rFonts w:ascii="Times New Roman" w:hAnsi="Times New Roman" w:eastAsia="Times New Roman"/>
          <w:b w:val="0"/>
        </w:rPr>
        <w:t>prostředků z rozpočtu Karlovarského kraje (dále jen „kraj“) v souladu se zákonem</w:t>
      </w:r>
      <w:r w:rsidRPr="00246189" w:rsidR="005A2F4A">
        <w:rPr>
          <w:rStyle w:val="Znakapoznpodarou"/>
          <w:rFonts w:ascii="Times New Roman" w:hAnsi="Times New Roman" w:eastAsia="Times New Roman"/>
          <w:b w:val="0"/>
        </w:rPr>
        <w:footnoteReference w:id="1"/>
      </w:r>
      <w:r w:rsidR="00984476">
        <w:rPr>
          <w:rFonts w:ascii="Times New Roman" w:hAnsi="Times New Roman" w:eastAsia="Times New Roman"/>
          <w:b w:val="0"/>
        </w:rPr>
        <w:t xml:space="preserve"> (dále jen „dotace“)</w:t>
      </w:r>
      <w:r w:rsidRPr="00246189" w:rsidR="00984476">
        <w:rPr>
          <w:rFonts w:ascii="Times New Roman" w:hAnsi="Times New Roman" w:eastAsia="Times New Roman"/>
          <w:b w:val="0"/>
        </w:rPr>
        <w:t>.</w:t>
      </w:r>
    </w:p>
    <w:p w:rsidRPr="00246189" w:rsidR="00B12427" w:rsidP="00452CA4" w:rsidRDefault="00B12427" w14:paraId="7BA9E02D" w14:textId="77777777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Účelově </w:t>
      </w:r>
      <w:r w:rsidRPr="00246189">
        <w:rPr>
          <w:rFonts w:ascii="Times New Roman" w:hAnsi="Times New Roman" w:eastAsia="Times New Roman"/>
          <w:b w:val="0"/>
        </w:rPr>
        <w:t>určené finanční prostředky z rozpočtu kraje mají napomáhat</w:t>
      </w:r>
      <w:r w:rsidR="00BE0CCC">
        <w:rPr>
          <w:rFonts w:ascii="Times New Roman" w:hAnsi="Times New Roman" w:eastAsia="Times New Roman"/>
          <w:b w:val="0"/>
        </w:rPr>
        <w:t xml:space="preserve"> k všestrannému rozvoji kraje a </w:t>
      </w:r>
      <w:r w:rsidRPr="00246189">
        <w:rPr>
          <w:rFonts w:ascii="Times New Roman" w:hAnsi="Times New Roman" w:eastAsia="Times New Roman"/>
          <w:b w:val="0"/>
        </w:rPr>
        <w:t>uspokojování potřeb občanů kraje, a to zejména v oblastech:</w:t>
      </w:r>
    </w:p>
    <w:p w:rsidRPr="00246189" w:rsidR="00B12427" w:rsidP="00452CA4" w:rsidRDefault="00B12427" w14:paraId="4996D459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volnočasové aktivity,</w:t>
      </w:r>
    </w:p>
    <w:p w:rsidRPr="00246189" w:rsidR="00B12427" w:rsidP="00452CA4" w:rsidRDefault="00B12427" w14:paraId="58FAE703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sport a tělovýchova,</w:t>
      </w:r>
    </w:p>
    <w:p w:rsidR="00B12427" w:rsidP="00452CA4" w:rsidRDefault="00B12427" w14:paraId="72311DC5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protidrogové aktivity a prevence kriminality,</w:t>
      </w:r>
    </w:p>
    <w:p w:rsidRPr="00246189" w:rsidR="00B12427" w:rsidP="00452CA4" w:rsidRDefault="00B12427" w14:paraId="4D914963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dopravní infrastruktura a dopravní výchova,</w:t>
      </w:r>
    </w:p>
    <w:p w:rsidRPr="00246189" w:rsidR="00B12427" w:rsidP="00452CA4" w:rsidRDefault="00B12427" w14:paraId="104405BB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kultura,</w:t>
      </w:r>
    </w:p>
    <w:p w:rsidRPr="00246189" w:rsidR="00B12427" w:rsidP="00452CA4" w:rsidRDefault="00B12427" w14:paraId="185E3EC0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památková péče,</w:t>
      </w:r>
    </w:p>
    <w:p w:rsidRPr="00246189" w:rsidR="00B12427" w:rsidP="00452CA4" w:rsidRDefault="00B12427" w14:paraId="2A3E47E4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vzdělávání a věda,</w:t>
      </w:r>
    </w:p>
    <w:p w:rsidRPr="00246189" w:rsidR="00B12427" w:rsidP="00452CA4" w:rsidRDefault="00B12427" w14:paraId="1B70F99D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výzkum, vývoj a inovace,</w:t>
      </w:r>
    </w:p>
    <w:p w:rsidRPr="00246189" w:rsidR="00B12427" w:rsidP="00452CA4" w:rsidRDefault="00B12427" w14:paraId="690BB934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životní prostředí,</w:t>
      </w:r>
    </w:p>
    <w:p w:rsidRPr="00246189" w:rsidR="00B12427" w:rsidP="00452CA4" w:rsidRDefault="00B12427" w14:paraId="56197B43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sociální,</w:t>
      </w:r>
    </w:p>
    <w:p w:rsidRPr="00246189" w:rsidR="00B12427" w:rsidP="00452CA4" w:rsidRDefault="00B12427" w14:paraId="393764FD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zdravotnictví,</w:t>
      </w:r>
    </w:p>
    <w:p w:rsidRPr="00246189" w:rsidR="00B12427" w:rsidP="00452CA4" w:rsidRDefault="00B12427" w14:paraId="4404DF75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regionální rozvoj,</w:t>
      </w:r>
    </w:p>
    <w:p w:rsidRPr="00246189" w:rsidR="00B12427" w:rsidP="00452CA4" w:rsidRDefault="00B12427" w14:paraId="5929D5F1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cestovní ruch,</w:t>
      </w:r>
    </w:p>
    <w:p w:rsidRPr="00246189" w:rsidR="00B12427" w:rsidP="00452CA4" w:rsidRDefault="00B12427" w14:paraId="0C830A32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územní plánování,</w:t>
      </w:r>
    </w:p>
    <w:p w:rsidRPr="00246189" w:rsidR="00B12427" w:rsidP="00452CA4" w:rsidRDefault="00B12427" w14:paraId="43EEDBDA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požární ochrana,</w:t>
      </w:r>
    </w:p>
    <w:p w:rsidRPr="00246189" w:rsidR="00B12427" w:rsidP="00452CA4" w:rsidRDefault="00B12427" w14:paraId="49F2B6C7" w14:textId="77777777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ind w:left="75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integrovaný záchranný systém a krizové řízení.</w:t>
      </w:r>
    </w:p>
    <w:p w:rsidRPr="00246189" w:rsidR="00984476" w:rsidP="00452CA4" w:rsidRDefault="00984476" w14:paraId="2BC5B4E0" w14:textId="77777777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D</w:t>
      </w:r>
      <w:r w:rsidRPr="00AB3EBB">
        <w:rPr>
          <w:rFonts w:ascii="Times New Roman" w:hAnsi="Times New Roman" w:eastAsia="Times New Roman"/>
          <w:b w:val="0"/>
        </w:rPr>
        <w:t>otace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>je poskytována formou</w:t>
      </w:r>
      <w:r w:rsidRPr="00246189">
        <w:rPr>
          <w:rFonts w:ascii="Times New Roman" w:hAnsi="Times New Roman" w:eastAsia="Times New Roman"/>
          <w:b w:val="0"/>
        </w:rPr>
        <w:t xml:space="preserve"> veřejnoprávní smlouvy (dále jen „smlouva“).</w:t>
      </w:r>
    </w:p>
    <w:p w:rsidR="00984476" w:rsidP="00452CA4" w:rsidRDefault="00E71F40" w14:paraId="33B43A51" w14:textId="29CBBCC7">
      <w:pPr>
        <w:pStyle w:val="Odstavecseseznamem"/>
        <w:numPr>
          <w:ilvl w:val="0"/>
          <w:numId w:val="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F26E8">
        <w:rPr>
          <w:rFonts w:ascii="Times New Roman" w:hAnsi="Times New Roman" w:eastAsia="Times New Roman"/>
          <w:b w:val="0"/>
        </w:rPr>
        <w:t>Tento předpis je závazný</w:t>
      </w:r>
      <w:r w:rsidRPr="008F26E8" w:rsidR="00984476">
        <w:rPr>
          <w:rFonts w:ascii="Times New Roman" w:hAnsi="Times New Roman" w:eastAsia="Times New Roman"/>
          <w:b w:val="0"/>
        </w:rPr>
        <w:t xml:space="preserve"> pro zaměstnance kraje zařazené do Krajského úřadu Karlovarského kraje</w:t>
      </w:r>
      <w:r w:rsidRPr="00246189" w:rsidR="00984476">
        <w:rPr>
          <w:rFonts w:ascii="Times New Roman" w:hAnsi="Times New Roman" w:eastAsia="Times New Roman"/>
          <w:b w:val="0"/>
        </w:rPr>
        <w:t xml:space="preserve"> (dále jen „krajský úřad</w:t>
      </w:r>
      <w:r w:rsidR="00984476">
        <w:rPr>
          <w:rFonts w:ascii="Times New Roman" w:hAnsi="Times New Roman" w:eastAsia="Times New Roman"/>
          <w:b w:val="0"/>
        </w:rPr>
        <w:t>“</w:t>
      </w:r>
      <w:r w:rsidRPr="00246189" w:rsidR="00984476">
        <w:rPr>
          <w:rFonts w:ascii="Times New Roman" w:hAnsi="Times New Roman" w:eastAsia="Times New Roman"/>
          <w:b w:val="0"/>
        </w:rPr>
        <w:t>)</w:t>
      </w:r>
      <w:r w:rsidR="005059CE">
        <w:rPr>
          <w:rFonts w:ascii="Times New Roman" w:hAnsi="Times New Roman" w:eastAsia="Times New Roman"/>
          <w:b w:val="0"/>
        </w:rPr>
        <w:t xml:space="preserve"> a pro zaměstnance příspěvkových organizací zřizovaných Karlovarským krajem</w:t>
      </w:r>
      <w:r w:rsidR="00DB55B3">
        <w:rPr>
          <w:rFonts w:ascii="Times New Roman" w:hAnsi="Times New Roman" w:eastAsia="Times New Roman"/>
          <w:b w:val="0"/>
        </w:rPr>
        <w:t xml:space="preserve">, </w:t>
      </w:r>
      <w:r w:rsidR="001E33CD">
        <w:rPr>
          <w:rFonts w:ascii="Times New Roman" w:hAnsi="Times New Roman" w:eastAsia="Times New Roman"/>
          <w:b w:val="0"/>
        </w:rPr>
        <w:t xml:space="preserve">kteří </w:t>
      </w:r>
      <w:r w:rsidR="00DB55B3">
        <w:rPr>
          <w:rFonts w:ascii="Times New Roman" w:hAnsi="Times New Roman" w:eastAsia="Times New Roman"/>
          <w:b w:val="0"/>
        </w:rPr>
        <w:t>administrují dotační programy</w:t>
      </w:r>
      <w:r w:rsidR="00984476">
        <w:rPr>
          <w:rFonts w:ascii="Times New Roman" w:hAnsi="Times New Roman" w:eastAsia="Times New Roman"/>
          <w:b w:val="0"/>
        </w:rPr>
        <w:t>.</w:t>
      </w:r>
    </w:p>
    <w:p w:rsidR="00E7563A" w:rsidP="00452CA4" w:rsidRDefault="00E7563A" w14:paraId="6D98A12B" w14:textId="7B14076E"/>
    <w:p w:rsidRPr="00E7563A" w:rsidR="00452CA4" w:rsidP="00452CA4" w:rsidRDefault="00452CA4" w14:paraId="4A6E04B1" w14:textId="77777777"/>
    <w:p w:rsidRPr="005E102E" w:rsidR="00984476" w:rsidP="00452CA4" w:rsidRDefault="00984476" w14:paraId="552ACB1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5" w:id="5"/>
      <w:r w:rsidRPr="005E102E">
        <w:rPr>
          <w:b/>
          <w:sz w:val="22"/>
          <w:szCs w:val="22"/>
        </w:rPr>
        <w:t>Čl. II.</w:t>
      </w:r>
      <w:bookmarkEnd w:id="5"/>
    </w:p>
    <w:p w:rsidRPr="005E102E" w:rsidR="00984476" w:rsidP="00452CA4" w:rsidRDefault="00984476" w14:paraId="57E4E53C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6" w:id="6"/>
      <w:r w:rsidRPr="005E102E">
        <w:rPr>
          <w:b/>
          <w:sz w:val="22"/>
          <w:szCs w:val="22"/>
        </w:rPr>
        <w:t>Základní pojmy</w:t>
      </w:r>
      <w:bookmarkEnd w:id="6"/>
    </w:p>
    <w:p w:rsidRPr="00246189" w:rsidR="00984476" w:rsidP="00452CA4" w:rsidRDefault="00984476" w14:paraId="67554419" w14:textId="77777777">
      <w:pPr>
        <w:pStyle w:val="Odstavecseseznamem"/>
        <w:suppressAutoHyphens/>
        <w:spacing w:before="240" w:after="0" w:line="240" w:lineRule="auto"/>
        <w:ind w:left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Pro účely </w:t>
      </w:r>
      <w:r w:rsidR="004E657A">
        <w:rPr>
          <w:rFonts w:ascii="Times New Roman" w:hAnsi="Times New Roman" w:eastAsia="Times New Roman"/>
          <w:b w:val="0"/>
        </w:rPr>
        <w:t>tohoto předpisu</w:t>
      </w:r>
      <w:r w:rsidRPr="00246189">
        <w:rPr>
          <w:rFonts w:ascii="Times New Roman" w:hAnsi="Times New Roman" w:eastAsia="Times New Roman"/>
          <w:b w:val="0"/>
        </w:rPr>
        <w:t xml:space="preserve"> se rozumí pojmem:</w:t>
      </w:r>
    </w:p>
    <w:p w:rsidRPr="00C171DA" w:rsidR="00897385" w:rsidP="00C171DA" w:rsidRDefault="00984476" w14:paraId="0C4F7611" w14:textId="1B4D9CFA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  <w:i/>
          <w:iCs/>
        </w:rPr>
        <w:t>centrální administrátor</w:t>
      </w:r>
      <w:r w:rsidRPr="00C171DA">
        <w:rPr>
          <w:rFonts w:ascii="Times New Roman" w:hAnsi="Times New Roman" w:eastAsia="Times New Roman"/>
          <w:b w:val="0"/>
        </w:rPr>
        <w:t xml:space="preserve"> – útvar</w:t>
      </w:r>
      <w:r w:rsidRPr="00C171DA" w:rsidR="18D18BDF">
        <w:rPr>
          <w:rFonts w:ascii="Times New Roman" w:hAnsi="Times New Roman" w:eastAsia="Times New Roman"/>
          <w:b w:val="0"/>
        </w:rPr>
        <w:t xml:space="preserve"> </w:t>
      </w:r>
      <w:r w:rsidRPr="00C171DA">
        <w:rPr>
          <w:rFonts w:ascii="Times New Roman" w:hAnsi="Times New Roman" w:eastAsia="Times New Roman"/>
          <w:b w:val="0"/>
        </w:rPr>
        <w:t xml:space="preserve">krajského úřadu, který centrálně administruje </w:t>
      </w:r>
      <w:r w:rsidRPr="00C171DA" w:rsidR="00BA2D92">
        <w:rPr>
          <w:rFonts w:ascii="Times New Roman" w:hAnsi="Times New Roman" w:eastAsia="Times New Roman"/>
          <w:b w:val="0"/>
        </w:rPr>
        <w:t xml:space="preserve">žádosti o </w:t>
      </w:r>
      <w:r w:rsidRPr="00C171DA">
        <w:rPr>
          <w:rFonts w:ascii="Times New Roman" w:hAnsi="Times New Roman" w:eastAsia="Times New Roman"/>
          <w:b w:val="0"/>
        </w:rPr>
        <w:t>poskytnutí dotace</w:t>
      </w:r>
      <w:r w:rsidRPr="00C171DA" w:rsidR="00897385">
        <w:rPr>
          <w:rFonts w:ascii="Times New Roman" w:hAnsi="Times New Roman" w:eastAsia="Times New Roman"/>
          <w:b w:val="0"/>
        </w:rPr>
        <w:t xml:space="preserve"> </w:t>
      </w:r>
      <w:r w:rsidRPr="00C171DA" w:rsidR="00BA2D92">
        <w:rPr>
          <w:rFonts w:ascii="Times New Roman" w:hAnsi="Times New Roman" w:eastAsia="Times New Roman"/>
          <w:b w:val="0"/>
        </w:rPr>
        <w:t xml:space="preserve">(z programu a individuální) </w:t>
      </w:r>
      <w:r w:rsidRPr="00C171DA" w:rsidR="00897385">
        <w:rPr>
          <w:rFonts w:ascii="Times New Roman" w:hAnsi="Times New Roman" w:eastAsia="Times New Roman"/>
          <w:b w:val="0"/>
        </w:rPr>
        <w:t>a</w:t>
      </w:r>
      <w:r w:rsidRPr="00C171DA" w:rsidR="00BA2D92">
        <w:rPr>
          <w:rFonts w:ascii="Times New Roman" w:hAnsi="Times New Roman" w:eastAsia="Times New Roman"/>
          <w:b w:val="0"/>
        </w:rPr>
        <w:t> </w:t>
      </w:r>
      <w:r w:rsidRPr="00C171DA" w:rsidR="00897385">
        <w:rPr>
          <w:rFonts w:ascii="Times New Roman" w:hAnsi="Times New Roman" w:eastAsia="Times New Roman"/>
          <w:b w:val="0"/>
        </w:rPr>
        <w:t>zodpovídá zejména za</w:t>
      </w:r>
      <w:r w:rsidRPr="00C171DA">
        <w:rPr>
          <w:rFonts w:ascii="Times New Roman" w:hAnsi="Times New Roman" w:eastAsia="Times New Roman"/>
          <w:b w:val="0"/>
        </w:rPr>
        <w:t>;</w:t>
      </w:r>
    </w:p>
    <w:p w:rsidRPr="00C171DA" w:rsidR="00897385" w:rsidP="00452CA4" w:rsidRDefault="00897385" w14:paraId="6B60D700" w14:textId="390FB71A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lastRenderedPageBreak/>
        <w:t xml:space="preserve">spolupráci </w:t>
      </w:r>
      <w:r w:rsidRPr="00C171DA" w:rsidR="00BA2D92">
        <w:rPr>
          <w:rFonts w:ascii="Times New Roman" w:hAnsi="Times New Roman" w:eastAsia="Times New Roman"/>
          <w:b w:val="0"/>
        </w:rPr>
        <w:t xml:space="preserve">s příslušným odborem </w:t>
      </w:r>
      <w:r w:rsidRPr="00C171DA">
        <w:rPr>
          <w:rFonts w:ascii="Times New Roman" w:hAnsi="Times New Roman" w:eastAsia="Times New Roman"/>
          <w:b w:val="0"/>
        </w:rPr>
        <w:t>při návrhu, změny a z</w:t>
      </w:r>
      <w:r w:rsidRPr="00C171DA" w:rsidR="00DE7621">
        <w:rPr>
          <w:rFonts w:ascii="Times New Roman" w:hAnsi="Times New Roman" w:eastAsia="Times New Roman"/>
          <w:b w:val="0"/>
        </w:rPr>
        <w:t>r</w:t>
      </w:r>
      <w:r w:rsidRPr="00C171DA">
        <w:rPr>
          <w:rFonts w:ascii="Times New Roman" w:hAnsi="Times New Roman" w:eastAsia="Times New Roman"/>
          <w:b w:val="0"/>
        </w:rPr>
        <w:t xml:space="preserve">ušení dotačního programu </w:t>
      </w:r>
      <w:r w:rsidRPr="00C171DA" w:rsidR="00DE7621">
        <w:rPr>
          <w:rFonts w:ascii="Times New Roman" w:hAnsi="Times New Roman" w:eastAsia="Times New Roman"/>
          <w:b w:val="0"/>
        </w:rPr>
        <w:t>s</w:t>
      </w:r>
      <w:r w:rsidR="003A58D2">
        <w:rPr>
          <w:rFonts w:ascii="Times New Roman" w:hAnsi="Times New Roman" w:eastAsia="Times New Roman"/>
          <w:b w:val="0"/>
        </w:rPr>
        <w:t> </w:t>
      </w:r>
      <w:r w:rsidRPr="00C171DA" w:rsidR="00DE7621">
        <w:rPr>
          <w:rFonts w:ascii="Times New Roman" w:hAnsi="Times New Roman" w:eastAsia="Times New Roman"/>
          <w:b w:val="0"/>
        </w:rPr>
        <w:t>ohledem na metodiku a jednotnost procesu administrace</w:t>
      </w:r>
      <w:r w:rsidRPr="00C171DA" w:rsidR="00BA2D92">
        <w:rPr>
          <w:rFonts w:ascii="Times New Roman" w:hAnsi="Times New Roman" w:eastAsia="Times New Roman"/>
          <w:b w:val="0"/>
        </w:rPr>
        <w:t xml:space="preserve"> žádosti o poskytnutí dotace</w:t>
      </w:r>
    </w:p>
    <w:p w:rsidRPr="00C171DA" w:rsidR="00897385" w:rsidP="00452CA4" w:rsidRDefault="00897385" w14:paraId="0C819E99" w14:textId="7BCBB53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projednání </w:t>
      </w:r>
      <w:r w:rsidRPr="00C171DA" w:rsidR="00BA2D92">
        <w:rPr>
          <w:rFonts w:ascii="Times New Roman" w:hAnsi="Times New Roman" w:eastAsia="Times New Roman"/>
          <w:b w:val="0"/>
        </w:rPr>
        <w:t xml:space="preserve">návrhu </w:t>
      </w:r>
      <w:r w:rsidRPr="00C171DA">
        <w:rPr>
          <w:rFonts w:ascii="Times New Roman" w:hAnsi="Times New Roman" w:eastAsia="Times New Roman"/>
          <w:b w:val="0"/>
        </w:rPr>
        <w:t>dotačního programu</w:t>
      </w:r>
      <w:r w:rsidRPr="00C171DA" w:rsidR="00BA2D92">
        <w:rPr>
          <w:rFonts w:ascii="Times New Roman" w:hAnsi="Times New Roman" w:eastAsia="Times New Roman"/>
          <w:b w:val="0"/>
        </w:rPr>
        <w:t>,</w:t>
      </w:r>
      <w:r w:rsidRPr="00C171DA">
        <w:rPr>
          <w:rFonts w:ascii="Times New Roman" w:hAnsi="Times New Roman" w:eastAsia="Times New Roman"/>
          <w:b w:val="0"/>
        </w:rPr>
        <w:t xml:space="preserve"> změn</w:t>
      </w:r>
      <w:r w:rsidRPr="00C171DA" w:rsidR="00BA2D92">
        <w:rPr>
          <w:rFonts w:ascii="Times New Roman" w:hAnsi="Times New Roman" w:eastAsia="Times New Roman"/>
          <w:b w:val="0"/>
        </w:rPr>
        <w:t>y a zrušení dotačního programu</w:t>
      </w:r>
      <w:r w:rsidRPr="00C171DA">
        <w:rPr>
          <w:rFonts w:ascii="Times New Roman" w:hAnsi="Times New Roman" w:eastAsia="Times New Roman"/>
          <w:b w:val="0"/>
        </w:rPr>
        <w:t xml:space="preserve"> v orgánech kraje</w:t>
      </w:r>
    </w:p>
    <w:p w:rsidRPr="00C171DA" w:rsidR="00BA2D92" w:rsidP="00452CA4" w:rsidRDefault="00BA2D92" w14:paraId="0D03ADEF" w14:textId="125EB0AB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>projednání rozdělení dotací z programu individuálních žádostí o poskytnutí dotace v orgánech kraje</w:t>
      </w:r>
    </w:p>
    <w:p w:rsidRPr="00C171DA" w:rsidR="00984476" w:rsidP="004F0239" w:rsidRDefault="00984476" w14:paraId="6BB0067B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  <w:i/>
        </w:rPr>
        <w:t xml:space="preserve">příslušný odbor </w:t>
      </w:r>
      <w:r w:rsidRPr="00C171DA">
        <w:rPr>
          <w:rFonts w:ascii="Times New Roman" w:hAnsi="Times New Roman" w:eastAsia="Times New Roman"/>
          <w:b w:val="0"/>
        </w:rPr>
        <w:t>– odbor krajského úřadu, který odpovídá</w:t>
      </w:r>
      <w:r w:rsidRPr="00C171DA" w:rsidR="00E0278E">
        <w:rPr>
          <w:rFonts w:ascii="Times New Roman" w:hAnsi="Times New Roman" w:eastAsia="Times New Roman"/>
          <w:b w:val="0"/>
        </w:rPr>
        <w:t xml:space="preserve"> zejména</w:t>
      </w:r>
      <w:r w:rsidRPr="00C171DA">
        <w:rPr>
          <w:rFonts w:ascii="Times New Roman" w:hAnsi="Times New Roman" w:eastAsia="Times New Roman"/>
          <w:b w:val="0"/>
        </w:rPr>
        <w:t xml:space="preserve"> za:</w:t>
      </w:r>
    </w:p>
    <w:p w:rsidRPr="00C171DA" w:rsidR="001E33CD" w:rsidP="00452CA4" w:rsidRDefault="001E33CD" w14:paraId="71F9CB60" w14:textId="7E6AD00F">
      <w:pPr>
        <w:pStyle w:val="Odstavecseseznamem"/>
        <w:numPr>
          <w:ilvl w:val="0"/>
          <w:numId w:val="45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>návrh, změnu a zrušení dotačního programu s ohledem na věcnou náplň a finanční zajištění</w:t>
      </w:r>
    </w:p>
    <w:p w:rsidRPr="00C171DA" w:rsidR="001E33CD" w:rsidP="00452CA4" w:rsidRDefault="001E33CD" w14:paraId="3C0CFFB0" w14:textId="226A1C85">
      <w:pPr>
        <w:pStyle w:val="Odstavecseseznamem"/>
        <w:numPr>
          <w:ilvl w:val="0"/>
          <w:numId w:val="45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odbornou spolupráci při posuzování žádostí o poskytnutí dotace (z programu a individuální) </w:t>
      </w:r>
    </w:p>
    <w:p w:rsidRPr="00C171DA" w:rsidR="00897385" w:rsidP="00452CA4" w:rsidRDefault="00984476" w14:paraId="65AF1906" w14:textId="29E7E1B7">
      <w:pPr>
        <w:pStyle w:val="Odstavecseseznamem"/>
        <w:numPr>
          <w:ilvl w:val="0"/>
          <w:numId w:val="45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alokaci prostředků </w:t>
      </w:r>
      <w:r w:rsidRPr="00C171DA" w:rsidR="001E33CD">
        <w:rPr>
          <w:rFonts w:ascii="Times New Roman" w:hAnsi="Times New Roman" w:eastAsia="Times New Roman"/>
          <w:b w:val="0"/>
        </w:rPr>
        <w:t xml:space="preserve">pro </w:t>
      </w:r>
      <w:r w:rsidRPr="00C171DA" w:rsidR="00A81143">
        <w:rPr>
          <w:rFonts w:ascii="Times New Roman" w:hAnsi="Times New Roman" w:eastAsia="Times New Roman"/>
          <w:b w:val="0"/>
        </w:rPr>
        <w:t xml:space="preserve">dotační programy </w:t>
      </w:r>
      <w:r w:rsidRPr="00C171DA" w:rsidR="001E33CD">
        <w:rPr>
          <w:rFonts w:ascii="Times New Roman" w:hAnsi="Times New Roman" w:eastAsia="Times New Roman"/>
          <w:b w:val="0"/>
        </w:rPr>
        <w:t xml:space="preserve">a </w:t>
      </w:r>
      <w:r w:rsidRPr="00C171DA" w:rsidR="00A81143">
        <w:rPr>
          <w:rFonts w:ascii="Times New Roman" w:hAnsi="Times New Roman" w:eastAsia="Times New Roman"/>
          <w:b w:val="0"/>
        </w:rPr>
        <w:t xml:space="preserve">individuální dotace </w:t>
      </w:r>
      <w:r w:rsidRPr="00C171DA">
        <w:rPr>
          <w:rFonts w:ascii="Times New Roman" w:hAnsi="Times New Roman" w:eastAsia="Times New Roman"/>
          <w:b w:val="0"/>
        </w:rPr>
        <w:t>v rozpočtu odboru na</w:t>
      </w:r>
      <w:r w:rsidRPr="00C171DA" w:rsidR="0036365E">
        <w:rPr>
          <w:rFonts w:ascii="Times New Roman" w:hAnsi="Times New Roman" w:eastAsia="Times New Roman"/>
          <w:b w:val="0"/>
        </w:rPr>
        <w:t> </w:t>
      </w:r>
      <w:r w:rsidRPr="00C171DA">
        <w:rPr>
          <w:rFonts w:ascii="Times New Roman" w:hAnsi="Times New Roman" w:eastAsia="Times New Roman"/>
          <w:b w:val="0"/>
        </w:rPr>
        <w:t>příslušný kalendářní rok</w:t>
      </w:r>
    </w:p>
    <w:p w:rsidRPr="00683CB1" w:rsidR="00984476" w:rsidP="004F0239" w:rsidRDefault="00984476" w14:paraId="0AC99940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dotace</w:t>
      </w:r>
      <w:r w:rsidRPr="00683CB1">
        <w:rPr>
          <w:rFonts w:ascii="Times New Roman" w:hAnsi="Times New Roman" w:eastAsia="Times New Roman"/>
          <w:b w:val="0"/>
        </w:rPr>
        <w:t xml:space="preserve"> – peněžní prostředky poskytnuté z rozpočtu kraje na stanovený účel;</w:t>
      </w:r>
    </w:p>
    <w:p w:rsidRPr="00683CB1" w:rsidR="00984476" w:rsidP="004F0239" w:rsidRDefault="00984476" w14:paraId="61F3EACE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administrace dotace </w:t>
      </w:r>
      <w:r w:rsidRPr="00683CB1">
        <w:rPr>
          <w:rFonts w:ascii="Times New Roman" w:hAnsi="Times New Roman" w:eastAsia="Times New Roman"/>
          <w:b w:val="0"/>
        </w:rPr>
        <w:t>– proces poskytnutí dotace prostřednictvím programové dotace nebo</w:t>
      </w:r>
      <w:r w:rsidR="0036365E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individuální dotace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663C652D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dotační program</w:t>
      </w:r>
      <w:r w:rsidR="00F347E5">
        <w:rPr>
          <w:rFonts w:ascii="Times New Roman" w:hAnsi="Times New Roman" w:eastAsia="Times New Roman"/>
          <w:b w:val="0"/>
          <w:i/>
        </w:rPr>
        <w:t xml:space="preserve"> (také jen „program“)</w:t>
      </w:r>
      <w:r w:rsidRPr="00683CB1">
        <w:rPr>
          <w:rFonts w:ascii="Times New Roman" w:hAnsi="Times New Roman" w:eastAsia="Times New Roman"/>
          <w:b w:val="0"/>
          <w:i/>
        </w:rPr>
        <w:t xml:space="preserve"> </w:t>
      </w:r>
      <w:r w:rsidRPr="00683CB1">
        <w:rPr>
          <w:rFonts w:ascii="Times New Roman" w:hAnsi="Times New Roman" w:eastAsia="Times New Roman"/>
          <w:b w:val="0"/>
        </w:rPr>
        <w:t xml:space="preserve">– </w:t>
      </w:r>
      <w:r w:rsidRPr="00ED479C" w:rsidR="00373C55">
        <w:rPr>
          <w:rFonts w:ascii="Times New Roman" w:hAnsi="Times New Roman" w:eastAsia="Times New Roman"/>
          <w:b w:val="0"/>
        </w:rPr>
        <w:t>souhrn věcných, časových a finančních podmínek podpory účelu určeného poskytovatelem v programu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528AE670" w14:textId="1A0F4811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vyhlášení </w:t>
      </w:r>
      <w:r w:rsidR="0087667A">
        <w:rPr>
          <w:rFonts w:ascii="Times New Roman" w:hAnsi="Times New Roman" w:eastAsia="Times New Roman"/>
          <w:b w:val="0"/>
          <w:i/>
        </w:rPr>
        <w:t xml:space="preserve">dotačního </w:t>
      </w:r>
      <w:r w:rsidRPr="00683CB1" w:rsidR="00C9336D">
        <w:rPr>
          <w:rFonts w:ascii="Times New Roman" w:hAnsi="Times New Roman" w:eastAsia="Times New Roman"/>
          <w:b w:val="0"/>
          <w:i/>
        </w:rPr>
        <w:t xml:space="preserve">programu </w:t>
      </w:r>
      <w:r w:rsidRPr="00683CB1" w:rsidR="00C9336D">
        <w:rPr>
          <w:rFonts w:ascii="Times New Roman" w:hAnsi="Times New Roman" w:eastAsia="Times New Roman"/>
          <w:b w:val="0"/>
        </w:rPr>
        <w:t>– zveřejnění</w:t>
      </w:r>
      <w:r w:rsidRPr="00683CB1">
        <w:rPr>
          <w:rFonts w:ascii="Times New Roman" w:hAnsi="Times New Roman" w:eastAsia="Times New Roman"/>
          <w:b w:val="0"/>
        </w:rPr>
        <w:t xml:space="preserve"> programu </w:t>
      </w:r>
      <w:r w:rsidRPr="00373C55" w:rsidR="00373C55">
        <w:rPr>
          <w:rFonts w:ascii="Times New Roman" w:hAnsi="Times New Roman" w:eastAsia="Times New Roman"/>
          <w:b w:val="0"/>
        </w:rPr>
        <w:t>způsobem umožňující dálkový přístup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E20B07" w:rsidR="00984476" w:rsidP="004F0239" w:rsidRDefault="00984476" w14:paraId="56949BDA" w14:textId="38D2F6F4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A63C1">
        <w:rPr>
          <w:rFonts w:ascii="Times New Roman" w:hAnsi="Times New Roman" w:eastAsia="Times New Roman"/>
          <w:b w:val="0"/>
          <w:i/>
        </w:rPr>
        <w:t>informační</w:t>
      </w:r>
      <w:r w:rsidRPr="006A63C1">
        <w:rPr>
          <w:rFonts w:ascii="Times New Roman" w:hAnsi="Times New Roman"/>
          <w:b w:val="0"/>
        </w:rPr>
        <w:t xml:space="preserve"> </w:t>
      </w:r>
      <w:r w:rsidRPr="006A63C1">
        <w:rPr>
          <w:rFonts w:ascii="Times New Roman" w:hAnsi="Times New Roman" w:eastAsia="Times New Roman"/>
          <w:b w:val="0"/>
          <w:i/>
        </w:rPr>
        <w:t>web</w:t>
      </w:r>
      <w:r w:rsidRPr="006A63C1">
        <w:rPr>
          <w:rFonts w:ascii="Times New Roman" w:hAnsi="Times New Roman"/>
          <w:b w:val="0"/>
        </w:rPr>
        <w:t xml:space="preserve"> – webové stránky poskytovatele na adrese </w:t>
      </w:r>
      <w:hyperlink w:history="1" r:id="rId11">
        <w:r w:rsidRPr="00C171DA" w:rsidR="001E33CD">
          <w:rPr>
            <w:rStyle w:val="Hypertextovodkaz"/>
            <w:rFonts w:ascii="Times New Roman" w:hAnsi="Times New Roman"/>
            <w:b w:val="0"/>
          </w:rPr>
          <w:t>https://www.kr-karlovarsky.cz/dotace</w:t>
        </w:r>
      </w:hyperlink>
      <w:r w:rsidRPr="006A63C1">
        <w:rPr>
          <w:rFonts w:ascii="Times New Roman" w:hAnsi="Times New Roman"/>
          <w:b w:val="0"/>
        </w:rPr>
        <w:t xml:space="preserve">, </w:t>
      </w:r>
      <w:r w:rsidRPr="006A63C1" w:rsidR="00F347E5">
        <w:rPr>
          <w:rFonts w:ascii="Times New Roman" w:hAnsi="Times New Roman"/>
          <w:b w:val="0"/>
        </w:rPr>
        <w:t xml:space="preserve">případně také </w:t>
      </w:r>
      <w:hyperlink w:history="1" r:id="rId12">
        <w:r w:rsidRPr="006A63C1" w:rsidR="00F347E5">
          <w:rPr>
            <w:rStyle w:val="Hypertextovodkaz"/>
            <w:rFonts w:ascii="Times New Roman" w:hAnsi="Times New Roman"/>
            <w:b w:val="0"/>
          </w:rPr>
          <w:t>https://kotliky.kr-karlovarsky.cz</w:t>
        </w:r>
      </w:hyperlink>
      <w:r w:rsidRPr="006A63C1" w:rsidR="00F347E5">
        <w:rPr>
          <w:rFonts w:ascii="Times New Roman" w:hAnsi="Times New Roman"/>
          <w:b w:val="0"/>
        </w:rPr>
        <w:t xml:space="preserve">, </w:t>
      </w:r>
      <w:r w:rsidRPr="006A63C1">
        <w:rPr>
          <w:rFonts w:ascii="Times New Roman" w:hAnsi="Times New Roman"/>
          <w:b w:val="0"/>
        </w:rPr>
        <w:t>kde jsou uvedeny</w:t>
      </w:r>
      <w:r w:rsidRPr="00E20B07">
        <w:rPr>
          <w:rFonts w:ascii="Times New Roman" w:hAnsi="Times New Roman"/>
          <w:b w:val="0"/>
        </w:rPr>
        <w:t xml:space="preserve"> informace pro žadatele o dotaci z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rozpočtu kraje, tj. zejména informace k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jednotlivým programům, formulář k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elektronické části žádosti, návody a postupy pro podání elektronické části žádosti a nejčastější dotazy s</w:t>
      </w:r>
      <w:r w:rsidR="0087667A">
        <w:rPr>
          <w:rFonts w:ascii="Times New Roman" w:hAnsi="Times New Roman"/>
          <w:b w:val="0"/>
        </w:rPr>
        <w:t> </w:t>
      </w:r>
      <w:r w:rsidRPr="00E20B07">
        <w:rPr>
          <w:rFonts w:ascii="Times New Roman" w:hAnsi="Times New Roman"/>
          <w:b w:val="0"/>
        </w:rPr>
        <w:t>nápovědou</w:t>
      </w:r>
      <w:r w:rsidRPr="00E20B07" w:rsidR="00BE0CCC">
        <w:rPr>
          <w:rFonts w:ascii="Times New Roman" w:hAnsi="Times New Roman"/>
          <w:b w:val="0"/>
        </w:rPr>
        <w:t>;</w:t>
      </w:r>
    </w:p>
    <w:p w:rsidRPr="00683CB1" w:rsidR="00984476" w:rsidP="004F0239" w:rsidRDefault="00984476" w14:paraId="12CEAC7E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GINIS</w:t>
      </w:r>
      <w:r w:rsidRPr="00683CB1">
        <w:rPr>
          <w:rFonts w:ascii="Times New Roman" w:hAnsi="Times New Roman" w:eastAsia="Times New Roman"/>
          <w:b w:val="0"/>
        </w:rPr>
        <w:t xml:space="preserve"> – ekonomický informační systém,</w:t>
      </w:r>
    </w:p>
    <w:p w:rsidRPr="00683CB1" w:rsidR="00984476" w:rsidP="00452CA4" w:rsidRDefault="00984476" w14:paraId="6F70B7B2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ADA</w:t>
      </w:r>
      <w:r w:rsidRPr="00683CB1">
        <w:rPr>
          <w:rFonts w:ascii="Times New Roman" w:hAnsi="Times New Roman" w:eastAsia="Times New Roman"/>
          <w:b w:val="0"/>
        </w:rPr>
        <w:t xml:space="preserve"> – modul GINIS pro administraci akcí,</w:t>
      </w:r>
    </w:p>
    <w:p w:rsidRPr="00683CB1" w:rsidR="00984476" w:rsidP="00452CA4" w:rsidRDefault="00984476" w14:paraId="26BB5355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POU</w:t>
      </w:r>
      <w:r w:rsidRPr="00683CB1">
        <w:rPr>
          <w:rFonts w:ascii="Times New Roman" w:hAnsi="Times New Roman" w:eastAsia="Times New Roman"/>
          <w:b w:val="0"/>
        </w:rPr>
        <w:t xml:space="preserve"> – modul GINIS pro evidenci a administraci poukazů,</w:t>
      </w:r>
    </w:p>
    <w:p w:rsidRPr="00C171DA" w:rsidR="00984476" w:rsidP="00452CA4" w:rsidRDefault="00984476" w14:paraId="76F7AFF6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Style w:val="Hypertextovodkaz"/>
          <w:rFonts w:ascii="Times New Roman" w:hAnsi="Times New Roman" w:eastAsia="Times New Roman"/>
          <w:b w:val="0"/>
          <w:color w:val="auto"/>
        </w:rPr>
      </w:pPr>
      <w:r w:rsidRPr="00683CB1">
        <w:rPr>
          <w:rFonts w:ascii="Times New Roman" w:hAnsi="Times New Roman" w:eastAsia="Times New Roman"/>
          <w:b w:val="0"/>
          <w:i/>
        </w:rPr>
        <w:t>RAP</w:t>
      </w:r>
      <w:r w:rsidRPr="00683CB1">
        <w:rPr>
          <w:rFonts w:ascii="Times New Roman" w:hAnsi="Times New Roman" w:eastAsia="Times New Roman"/>
          <w:b w:val="0"/>
        </w:rPr>
        <w:t xml:space="preserve"> – modul GINIS pro registraci žadatelů a podávání elektronických žádostí, dostupný na adrese </w:t>
      </w:r>
      <w:hyperlink w:history="1" r:id="rId13">
        <w:r w:rsidRPr="00683CB1">
          <w:rPr>
            <w:rStyle w:val="Hypertextovodkaz"/>
            <w:rFonts w:ascii="Times New Roman" w:hAnsi="Times New Roman"/>
            <w:b w:val="0"/>
          </w:rPr>
          <w:t>https://dotace.kr-karlovarsky.cz/gordic/ginis/app/RAP05/</w:t>
        </w:r>
      </w:hyperlink>
      <w:r w:rsidRPr="00373C55" w:rsidR="00373C55">
        <w:rPr>
          <w:rFonts w:ascii="Times New Roman" w:hAnsi="Times New Roman" w:eastAsia="Times New Roman"/>
          <w:b w:val="0"/>
        </w:rPr>
        <w:t xml:space="preserve"> </w:t>
      </w:r>
      <w:r w:rsidR="00373C55">
        <w:rPr>
          <w:rFonts w:ascii="Times New Roman" w:hAnsi="Times New Roman" w:eastAsia="Times New Roman"/>
          <w:b w:val="0"/>
        </w:rPr>
        <w:t xml:space="preserve">(webová </w:t>
      </w:r>
      <w:r w:rsidRPr="006A63C1" w:rsidR="00373C55">
        <w:rPr>
          <w:rFonts w:ascii="Times New Roman" w:hAnsi="Times New Roman" w:eastAsia="Times New Roman"/>
          <w:b w:val="0"/>
        </w:rPr>
        <w:t>aplikace)</w:t>
      </w:r>
      <w:r w:rsidRPr="00C171DA">
        <w:rPr>
          <w:rStyle w:val="Hypertextovodkaz"/>
          <w:rFonts w:ascii="Times New Roman" w:hAnsi="Times New Roman"/>
          <w:b w:val="0"/>
          <w:color w:val="auto"/>
        </w:rPr>
        <w:t>,</w:t>
      </w:r>
    </w:p>
    <w:p w:rsidRPr="00683CB1" w:rsidR="00984476" w:rsidP="00452CA4" w:rsidRDefault="00984476" w14:paraId="7E6BF7DC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SML –</w:t>
      </w:r>
      <w:r w:rsidRPr="00683CB1">
        <w:rPr>
          <w:rFonts w:ascii="Times New Roman" w:hAnsi="Times New Roman" w:eastAsia="Times New Roman"/>
          <w:b w:val="0"/>
        </w:rPr>
        <w:t xml:space="preserve"> modul GINIS pro evidenci a administraci smluv a objednávek,</w:t>
      </w:r>
    </w:p>
    <w:p w:rsidRPr="00683CB1" w:rsidR="00984476" w:rsidP="00452CA4" w:rsidRDefault="00984476" w14:paraId="6E1B8E0D" w14:textId="77777777">
      <w:pPr>
        <w:pStyle w:val="Odstavecseseznamem"/>
        <w:numPr>
          <w:ilvl w:val="1"/>
          <w:numId w:val="46"/>
        </w:numPr>
        <w:suppressAutoHyphens/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VFP</w:t>
      </w:r>
      <w:r w:rsidRPr="00683CB1">
        <w:rPr>
          <w:rFonts w:ascii="Times New Roman" w:hAnsi="Times New Roman" w:eastAsia="Times New Roman"/>
          <w:b w:val="0"/>
        </w:rPr>
        <w:t xml:space="preserve"> – modul GINIS pro evidenci a administraci žádostí,</w:t>
      </w:r>
    </w:p>
    <w:p w:rsidR="00AA0F2C" w:rsidP="004F0239" w:rsidRDefault="00AA0F2C" w14:paraId="5693DA97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projekt, akce, činnost (dále jen „projekt“) </w:t>
      </w:r>
      <w:r w:rsidRPr="00683CB1">
        <w:rPr>
          <w:rFonts w:ascii="Times New Roman" w:hAnsi="Times New Roman" w:eastAsia="Times New Roman"/>
          <w:b w:val="0"/>
        </w:rPr>
        <w:t>– žadatelem, případně také poskytovatelem navrhovaný ucelený souhrn činností, jež mají být podpořeny dotací</w:t>
      </w:r>
      <w:r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3060F72E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 xml:space="preserve">celkové výdaje projektu </w:t>
      </w:r>
      <w:r w:rsidRPr="00683CB1">
        <w:rPr>
          <w:rFonts w:ascii="Times New Roman" w:hAnsi="Times New Roman" w:eastAsia="Times New Roman"/>
          <w:b w:val="0"/>
        </w:rPr>
        <w:t>– uznatelné a neuznatelné výdaje projektu, které jsou vymezeny dotačním programem nebo smlouvou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207BA277" w14:textId="2C1860AF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uznatelné výdaje</w:t>
      </w:r>
      <w:r w:rsidRPr="00683CB1">
        <w:rPr>
          <w:rFonts w:ascii="Times New Roman" w:hAnsi="Times New Roman" w:eastAsia="Times New Roman"/>
          <w:b w:val="0"/>
        </w:rPr>
        <w:t xml:space="preserve"> – výdaje projektu hrazené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dotace vymezené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dotačním programu nebo</w:t>
      </w:r>
      <w:r w:rsidR="0036365E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ve smlouvě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3DF40DA8" w14:textId="4DD8EAD0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neuznatelné výdaje</w:t>
      </w:r>
      <w:r w:rsidRPr="00683CB1">
        <w:rPr>
          <w:rFonts w:ascii="Times New Roman" w:hAnsi="Times New Roman" w:eastAsia="Times New Roman"/>
          <w:b w:val="0"/>
        </w:rPr>
        <w:t xml:space="preserve"> – výdaje projektu, které nelze hradit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 xml:space="preserve">dotace a jsou </w:t>
      </w:r>
      <w:r w:rsidR="00692D5F">
        <w:rPr>
          <w:rFonts w:ascii="Times New Roman" w:hAnsi="Times New Roman" w:eastAsia="Times New Roman"/>
          <w:b w:val="0"/>
        </w:rPr>
        <w:t xml:space="preserve">takto </w:t>
      </w:r>
      <w:r w:rsidRPr="00683CB1">
        <w:rPr>
          <w:rFonts w:ascii="Times New Roman" w:hAnsi="Times New Roman" w:eastAsia="Times New Roman"/>
          <w:b w:val="0"/>
        </w:rPr>
        <w:t>vymezené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dotačním programu nebo ve smlouvě (jsou financovány žadatelem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jiných zdrojů nebo je nelze zahrnout do čerpání nebo finančního vypořádání dotace)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161563C9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orgán kraje</w:t>
      </w:r>
      <w:r w:rsidRPr="00683CB1">
        <w:rPr>
          <w:rFonts w:ascii="Times New Roman" w:hAnsi="Times New Roman" w:eastAsia="Times New Roman"/>
          <w:b w:val="0"/>
        </w:rPr>
        <w:t xml:space="preserve"> – Rada Karlovarského kraje (dále jen „rada kraje“) nebo Zastupitelstvo Karlovarského kraje (dále jen „zastupitelstvo kraje“)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64511EA9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poskytovatel</w:t>
      </w:r>
      <w:r w:rsidRPr="00683CB1">
        <w:rPr>
          <w:rFonts w:ascii="Times New Roman" w:hAnsi="Times New Roman" w:eastAsia="Times New Roman"/>
          <w:b w:val="0"/>
        </w:rPr>
        <w:t xml:space="preserve"> – Karlovarský kraj</w:t>
      </w:r>
      <w:r w:rsidR="00BE0CCC">
        <w:rPr>
          <w:rFonts w:ascii="Times New Roman" w:hAnsi="Times New Roman" w:eastAsia="Times New Roman"/>
          <w:b w:val="0"/>
        </w:rPr>
        <w:t>;</w:t>
      </w:r>
    </w:p>
    <w:p w:rsidRPr="00683CB1" w:rsidR="00984476" w:rsidP="004F0239" w:rsidRDefault="00984476" w14:paraId="720BC7F5" w14:textId="77777777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žadatel</w:t>
      </w:r>
      <w:r w:rsidRPr="00683CB1">
        <w:rPr>
          <w:rFonts w:ascii="Times New Roman" w:hAnsi="Times New Roman" w:eastAsia="Times New Roman"/>
          <w:b w:val="0"/>
        </w:rPr>
        <w:t xml:space="preserve"> – fyzická nebo právnická osoba, která žádá poskytovatele o dotaci</w:t>
      </w:r>
      <w:r w:rsidR="00BE0CCC">
        <w:rPr>
          <w:rFonts w:ascii="Times New Roman" w:hAnsi="Times New Roman"/>
          <w:b w:val="0"/>
        </w:rPr>
        <w:t>;</w:t>
      </w:r>
    </w:p>
    <w:p w:rsidRPr="00683CB1" w:rsidR="000A0139" w:rsidP="004F0239" w:rsidRDefault="000A0139" w14:paraId="37262F0D" w14:textId="5D936FEC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t>příjemce</w:t>
      </w:r>
      <w:r w:rsidRPr="00683CB1">
        <w:rPr>
          <w:rFonts w:ascii="Times New Roman" w:hAnsi="Times New Roman" w:eastAsia="Times New Roman"/>
          <w:b w:val="0"/>
        </w:rPr>
        <w:t xml:space="preserve"> – žadatel,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jehož prospěch příslušný orgán kraje schválil poskytnutí dotace a poskytovatel s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ním uzavřel smlouvu</w:t>
      </w:r>
      <w:r w:rsidR="00A01B3F">
        <w:rPr>
          <w:rFonts w:ascii="Times New Roman" w:hAnsi="Times New Roman" w:eastAsia="Times New Roman"/>
          <w:b w:val="0"/>
        </w:rPr>
        <w:t>;</w:t>
      </w:r>
    </w:p>
    <w:p w:rsidRPr="00683CB1" w:rsidR="000A0139" w:rsidP="004F0239" w:rsidRDefault="000A0139" w14:paraId="3705D87F" w14:textId="22D43B62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  <w:i/>
        </w:rPr>
        <w:lastRenderedPageBreak/>
        <w:t xml:space="preserve">žádost </w:t>
      </w:r>
      <w:r w:rsidRPr="00683CB1">
        <w:rPr>
          <w:rFonts w:ascii="Times New Roman" w:hAnsi="Times New Roman" w:eastAsia="Times New Roman"/>
          <w:b w:val="0"/>
        </w:rPr>
        <w:t>– žádost o poskytnutí individuální či programové dotace z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rozpočtu kraje, která je vyplněna elektronicky 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 xml:space="preserve">modulu RAP </w:t>
      </w:r>
      <w:r w:rsidR="0003355E">
        <w:rPr>
          <w:rFonts w:ascii="Times New Roman" w:hAnsi="Times New Roman" w:eastAsia="Times New Roman"/>
          <w:b w:val="0"/>
        </w:rPr>
        <w:t>nebo pořízena v</w:t>
      </w:r>
      <w:r w:rsidR="0087667A">
        <w:rPr>
          <w:rFonts w:ascii="Times New Roman" w:hAnsi="Times New Roman" w:eastAsia="Times New Roman"/>
          <w:b w:val="0"/>
        </w:rPr>
        <w:t> </w:t>
      </w:r>
      <w:r w:rsidR="0003355E">
        <w:rPr>
          <w:rFonts w:ascii="Times New Roman" w:hAnsi="Times New Roman" w:eastAsia="Times New Roman"/>
          <w:b w:val="0"/>
        </w:rPr>
        <w:t xml:space="preserve">modulu VFP </w:t>
      </w:r>
      <w:r w:rsidR="00846A22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="00846A22">
        <w:rPr>
          <w:rFonts w:ascii="Times New Roman" w:hAnsi="Times New Roman" w:eastAsia="Times New Roman"/>
          <w:b w:val="0"/>
        </w:rPr>
        <w:t xml:space="preserve">případě individuálních dotací </w:t>
      </w:r>
      <w:r w:rsidRPr="00683CB1">
        <w:rPr>
          <w:rFonts w:ascii="Times New Roman" w:hAnsi="Times New Roman" w:eastAsia="Times New Roman"/>
          <w:b w:val="0"/>
        </w:rPr>
        <w:t>a</w:t>
      </w:r>
      <w:r w:rsidR="00C264E6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683CB1">
        <w:rPr>
          <w:rFonts w:ascii="Times New Roman" w:hAnsi="Times New Roman" w:eastAsia="Times New Roman"/>
          <w:b w:val="0"/>
        </w:rPr>
        <w:t>listinné podobě doručena poskytovateli</w:t>
      </w:r>
      <w:r w:rsidR="00AA0F2C">
        <w:rPr>
          <w:rFonts w:ascii="Times New Roman" w:hAnsi="Times New Roman" w:eastAsia="Times New Roman"/>
          <w:b w:val="0"/>
        </w:rPr>
        <w:t>, pokud je příjem listinných žádostí požadován</w:t>
      </w:r>
      <w:r w:rsidR="00A01B3F">
        <w:rPr>
          <w:rFonts w:ascii="Times New Roman" w:hAnsi="Times New Roman" w:eastAsia="Times New Roman"/>
          <w:b w:val="0"/>
        </w:rPr>
        <w:t>;</w:t>
      </w:r>
    </w:p>
    <w:p w:rsidRPr="00BE0CCC" w:rsidR="00984476" w:rsidP="004F0239" w:rsidRDefault="00984476" w14:paraId="4C5E2FA7" w14:textId="77777777">
      <w:pPr>
        <w:numPr>
          <w:ilvl w:val="0"/>
          <w:numId w:val="1"/>
        </w:numPr>
        <w:suppressAutoHyphens/>
        <w:spacing w:before="120"/>
        <w:jc w:val="both"/>
        <w:rPr>
          <w:sz w:val="22"/>
          <w:szCs w:val="22"/>
        </w:rPr>
      </w:pPr>
      <w:r w:rsidRPr="00B12427">
        <w:rPr>
          <w:i/>
          <w:sz w:val="22"/>
          <w:szCs w:val="22"/>
        </w:rPr>
        <w:t>veřejná podpora</w:t>
      </w:r>
      <w:r w:rsidRPr="00B12427">
        <w:rPr>
          <w:sz w:val="22"/>
          <w:szCs w:val="22"/>
        </w:rPr>
        <w:t xml:space="preserve"> –</w:t>
      </w:r>
      <w:r w:rsidR="00454CA1">
        <w:rPr>
          <w:sz w:val="22"/>
          <w:szCs w:val="22"/>
        </w:rPr>
        <w:t xml:space="preserve"> </w:t>
      </w:r>
      <w:r w:rsidRPr="00B12427">
        <w:rPr>
          <w:sz w:val="22"/>
          <w:szCs w:val="22"/>
        </w:rPr>
        <w:t>dotace, která znamená pro příjemce jakožto účastníka trhu zvýhodnění.</w:t>
      </w:r>
    </w:p>
    <w:p w:rsidR="00981DEB" w:rsidP="00452CA4" w:rsidRDefault="00981DEB" w14:paraId="2946DB82" w14:textId="24D9A9E6">
      <w:pPr>
        <w:suppressAutoHyphens/>
        <w:jc w:val="both"/>
        <w:rPr>
          <w:sz w:val="22"/>
          <w:szCs w:val="22"/>
        </w:rPr>
      </w:pPr>
    </w:p>
    <w:p w:rsidR="00452CA4" w:rsidP="00452CA4" w:rsidRDefault="00452CA4" w14:paraId="4D57B173" w14:textId="77777777">
      <w:pPr>
        <w:suppressAutoHyphens/>
        <w:jc w:val="both"/>
        <w:rPr>
          <w:sz w:val="22"/>
          <w:szCs w:val="22"/>
        </w:rPr>
      </w:pPr>
    </w:p>
    <w:p w:rsidRPr="00BE0CCC" w:rsidR="00452CA4" w:rsidP="00452CA4" w:rsidRDefault="00452CA4" w14:paraId="3ACD1B46" w14:textId="77777777">
      <w:pPr>
        <w:suppressAutoHyphens/>
        <w:jc w:val="both"/>
        <w:rPr>
          <w:sz w:val="22"/>
          <w:szCs w:val="22"/>
        </w:rPr>
      </w:pPr>
    </w:p>
    <w:p w:rsidRPr="005E102E" w:rsidR="00984476" w:rsidP="00452CA4" w:rsidRDefault="00984476" w14:paraId="45267DED" w14:textId="1058C988">
      <w:pPr>
        <w:jc w:val="center"/>
        <w:rPr>
          <w:b/>
          <w:i/>
          <w:sz w:val="22"/>
          <w:szCs w:val="22"/>
        </w:rPr>
      </w:pPr>
      <w:bookmarkStart w:name="_Toc526920567" w:id="7"/>
      <w:r w:rsidRPr="005E102E">
        <w:rPr>
          <w:b/>
          <w:i/>
          <w:sz w:val="22"/>
          <w:szCs w:val="22"/>
        </w:rPr>
        <w:t>Část druhá</w:t>
      </w:r>
      <w:bookmarkEnd w:id="7"/>
    </w:p>
    <w:p w:rsidRPr="00830A40" w:rsidR="00984476" w:rsidP="00452CA4" w:rsidRDefault="00984476" w14:paraId="0591B907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68" w:id="8"/>
      <w:r w:rsidRPr="00830A40">
        <w:rPr>
          <w:b/>
          <w:caps/>
          <w:sz w:val="22"/>
          <w:szCs w:val="22"/>
        </w:rPr>
        <w:t>Poskytnutí dotace</w:t>
      </w:r>
      <w:bookmarkEnd w:id="8"/>
    </w:p>
    <w:p w:rsidR="00452CA4" w:rsidP="00452CA4" w:rsidRDefault="00452CA4" w14:paraId="23A936F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69" w:id="9"/>
    </w:p>
    <w:p w:rsidRPr="005E102E" w:rsidR="00984476" w:rsidP="00452CA4" w:rsidRDefault="00984476" w14:paraId="65C824FC" w14:textId="699C139C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III.</w:t>
      </w:r>
      <w:bookmarkEnd w:id="9"/>
    </w:p>
    <w:p w:rsidRPr="003A58D2" w:rsidR="00984476" w:rsidP="00452CA4" w:rsidRDefault="004E657A" w14:paraId="43D6E561" w14:textId="565EC070">
      <w:pPr>
        <w:pStyle w:val="Nadpis1"/>
        <w:keepNext w:val="0"/>
        <w:widowControl/>
        <w:suppressAutoHyphens/>
        <w:rPr>
          <w:rStyle w:val="Znakapoznpodarou"/>
          <w:b/>
          <w:sz w:val="22"/>
          <w:szCs w:val="22"/>
          <w:vertAlign w:val="baseline"/>
        </w:rPr>
      </w:pPr>
      <w:bookmarkStart w:name="_Toc526920570" w:id="10"/>
      <w:r w:rsidRPr="2B96B667">
        <w:rPr>
          <w:b/>
          <w:sz w:val="22"/>
          <w:szCs w:val="22"/>
        </w:rPr>
        <w:t xml:space="preserve">Zásady a </w:t>
      </w:r>
      <w:r w:rsidRPr="2B96B667" w:rsidR="00984476">
        <w:rPr>
          <w:b/>
          <w:sz w:val="22"/>
          <w:szCs w:val="22"/>
        </w:rPr>
        <w:t>podmínky pro poskytnutí dotace</w:t>
      </w:r>
      <w:bookmarkEnd w:id="10"/>
    </w:p>
    <w:p w:rsidRPr="00246189" w:rsidR="00984476" w:rsidP="00452CA4" w:rsidRDefault="00984476" w14:paraId="15C7D2E7" w14:textId="77777777">
      <w:pPr>
        <w:pStyle w:val="Odstavecseseznamem"/>
        <w:numPr>
          <w:ilvl w:val="0"/>
          <w:numId w:val="2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Obecné zásady pro poskytnutí dotace:</w:t>
      </w:r>
    </w:p>
    <w:p w:rsidRPr="0058332A" w:rsidR="00984476" w:rsidP="00452CA4" w:rsidRDefault="00984476" w14:paraId="4014F3B4" w14:textId="6B60F13B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veřejný zájem – poskytnutí dotace musí být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souladu s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veřejným zájmem a s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rozvojovými dokumenty kraje,</w:t>
      </w:r>
    </w:p>
    <w:p w:rsidRPr="0058332A" w:rsidR="00984476" w:rsidP="00452CA4" w:rsidRDefault="00984476" w14:paraId="088D7C34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 xml:space="preserve">účelovost – dotace je poskytována </w:t>
      </w:r>
      <w:r w:rsidR="00373C55">
        <w:rPr>
          <w:rFonts w:ascii="Times New Roman" w:hAnsi="Times New Roman"/>
          <w:b w:val="0"/>
        </w:rPr>
        <w:t>na konkrétní účel</w:t>
      </w:r>
      <w:r w:rsidRPr="0058332A">
        <w:rPr>
          <w:rFonts w:ascii="Times New Roman" w:hAnsi="Times New Roman"/>
          <w:b w:val="0"/>
        </w:rPr>
        <w:t>,</w:t>
      </w:r>
    </w:p>
    <w:p w:rsidRPr="0058332A" w:rsidR="00984476" w:rsidP="00452CA4" w:rsidRDefault="00984476" w14:paraId="3145738B" w14:textId="011353B5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působnost – dotaci lze poskytnout pouze na projekty, které budou realizovány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územním obvodu kraje nebo jejichž realizace bude pro kraj přínosem,</w:t>
      </w:r>
    </w:p>
    <w:p w:rsidRPr="0058332A" w:rsidR="00984476" w:rsidP="00452CA4" w:rsidRDefault="00984476" w14:paraId="1199E953" w14:textId="5D7EF030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připravenost projektu – veškerá potřebná dokumentace k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projektu musí být předložena včas dle</w:t>
      </w:r>
      <w:r w:rsidRPr="0058332A" w:rsidR="00DB7D63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podmínek dotačního programu,</w:t>
      </w:r>
    </w:p>
    <w:p w:rsidRPr="0058332A" w:rsidR="00984476" w:rsidP="00452CA4" w:rsidRDefault="00984476" w14:paraId="0920BB33" w14:textId="1F5E0E2B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slučitelnost – soulad dotace s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podmínkami poskytování veřejné podpory</w:t>
      </w:r>
      <w:r w:rsidR="002108ED">
        <w:rPr>
          <w:rStyle w:val="Znakapoznpodarou"/>
          <w:rFonts w:ascii="Times New Roman" w:hAnsi="Times New Roman"/>
          <w:b w:val="0"/>
        </w:rPr>
        <w:footnoteReference w:id="2"/>
      </w:r>
      <w:r w:rsidRPr="0058332A">
        <w:rPr>
          <w:rFonts w:ascii="Times New Roman" w:hAnsi="Times New Roman"/>
          <w:b w:val="0"/>
        </w:rPr>
        <w:t>,</w:t>
      </w:r>
    </w:p>
    <w:p w:rsidRPr="0058332A" w:rsidR="00984476" w:rsidP="00452CA4" w:rsidRDefault="00984476" w14:paraId="51E58AC4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proofErr w:type="spellStart"/>
      <w:r w:rsidRPr="0058332A">
        <w:rPr>
          <w:rFonts w:ascii="Times New Roman" w:hAnsi="Times New Roman"/>
          <w:b w:val="0"/>
        </w:rPr>
        <w:t>nenárokovost</w:t>
      </w:r>
      <w:proofErr w:type="spellEnd"/>
      <w:r w:rsidRPr="0058332A">
        <w:rPr>
          <w:rFonts w:ascii="Times New Roman" w:hAnsi="Times New Roman"/>
          <w:b w:val="0"/>
        </w:rPr>
        <w:t xml:space="preserve"> – na poskytnutí dotace není právní nárok.</w:t>
      </w:r>
    </w:p>
    <w:p w:rsidR="00984476" w:rsidP="00452CA4" w:rsidRDefault="00984476" w14:paraId="4741082E" w14:textId="57E2EF80">
      <w:pPr>
        <w:pStyle w:val="Odstavecseseznamem"/>
        <w:numPr>
          <w:ilvl w:val="0"/>
          <w:numId w:val="26"/>
        </w:numPr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31F8E16D">
        <w:rPr>
          <w:rFonts w:ascii="Times New Roman" w:hAnsi="Times New Roman" w:eastAsia="Times New Roman"/>
          <w:b w:val="0"/>
        </w:rPr>
        <w:t>Obecné podmínky pro poskytnutí dotace:</w:t>
      </w:r>
    </w:p>
    <w:p w:rsidRPr="0058332A" w:rsidR="00984476" w:rsidP="00452CA4" w:rsidRDefault="00984476" w14:paraId="46BBD9EC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pouze převodem finančních prostředků na bankovní účet žadatele uvedený ve smlouvě,</w:t>
      </w:r>
    </w:p>
    <w:p w:rsidRPr="0058332A" w:rsidR="00984476" w:rsidP="00452CA4" w:rsidRDefault="00984476" w14:paraId="2E70E783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který má vyrovnané závazky nebo uhrazeny splatné dluhy vůči kraji,</w:t>
      </w:r>
    </w:p>
    <w:p w:rsidRPr="0058332A" w:rsidR="00984476" w:rsidP="00452CA4" w:rsidRDefault="00A16964" w14:paraId="66FDD32C" w14:textId="1D6E3251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 xml:space="preserve">který </w:t>
      </w:r>
      <w:r w:rsidRPr="31F8E16D" w:rsidR="00984476">
        <w:rPr>
          <w:rFonts w:ascii="Times New Roman" w:hAnsi="Times New Roman"/>
          <w:b w:val="0"/>
        </w:rPr>
        <w:t>nepodal současně více žádostí ke stejnému či obdobnému projektu, není-li v</w:t>
      </w:r>
      <w:r w:rsidR="0087667A">
        <w:rPr>
          <w:rFonts w:ascii="Times New Roman" w:hAnsi="Times New Roman"/>
          <w:b w:val="0"/>
        </w:rPr>
        <w:t> </w:t>
      </w:r>
      <w:r w:rsidRPr="31F8E16D" w:rsidR="00984476">
        <w:rPr>
          <w:rFonts w:ascii="Times New Roman" w:hAnsi="Times New Roman"/>
          <w:b w:val="0"/>
        </w:rPr>
        <w:t>programu uvedeno jinak,</w:t>
      </w:r>
    </w:p>
    <w:p w:rsidRPr="0058332A" w:rsidR="00984476" w:rsidP="00452CA4" w:rsidRDefault="00984476" w14:paraId="3A7F020D" w14:textId="4DDBDB2F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58332A">
        <w:rPr>
          <w:rFonts w:ascii="Times New Roman" w:hAnsi="Times New Roman"/>
          <w:b w:val="0"/>
        </w:rPr>
        <w:t>který se nenachází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úpadku</w:t>
      </w:r>
      <w:r w:rsidRPr="0058332A" w:rsidR="000215E4">
        <w:rPr>
          <w:b w:val="0"/>
          <w:vertAlign w:val="superscript"/>
        </w:rPr>
        <w:footnoteReference w:id="3"/>
      </w:r>
      <w:r w:rsidRPr="0058332A">
        <w:rPr>
          <w:rFonts w:ascii="Times New Roman" w:hAnsi="Times New Roman"/>
          <w:b w:val="0"/>
        </w:rPr>
        <w:t xml:space="preserve"> nebo nedošlo v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jeho případě k</w:t>
      </w:r>
      <w:r w:rsidR="0087667A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podání insolvenčního návrhu, sám</w:t>
      </w:r>
      <w:r w:rsidR="0036365E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tento návrh nepodal, nebylo vydáno rozhodnutí o úpadku, a to i</w:t>
      </w:r>
      <w:r w:rsidRPr="0058332A" w:rsidR="0002017C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za</w:t>
      </w:r>
      <w:r w:rsidRPr="0058332A" w:rsidR="0002017C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>období tří let před</w:t>
      </w:r>
      <w:r w:rsidR="0036365E">
        <w:rPr>
          <w:rFonts w:ascii="Times New Roman" w:hAnsi="Times New Roman"/>
          <w:b w:val="0"/>
        </w:rPr>
        <w:t> </w:t>
      </w:r>
      <w:r w:rsidRPr="0058332A">
        <w:rPr>
          <w:rFonts w:ascii="Times New Roman" w:hAnsi="Times New Roman"/>
          <w:b w:val="0"/>
        </w:rPr>
        <w:t xml:space="preserve">podáním žádosti, </w:t>
      </w:r>
    </w:p>
    <w:p w:rsidRPr="0058332A" w:rsidR="00984476" w:rsidP="00452CA4" w:rsidRDefault="00984476" w14:paraId="535BC0C1" w14:textId="3FFC623C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který se nenachází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procesu zrušení bez právního nástupce (např. likvidace, zrušení nebo zánik živnostenského oprávnění), není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procesu přeměny (např. sloučení, splynutí, rozdělení obchodní korporace),</w:t>
      </w:r>
    </w:p>
    <w:p w:rsidRPr="0058332A" w:rsidR="00984476" w:rsidP="00452CA4" w:rsidRDefault="00984476" w14:paraId="5825BED1" w14:textId="50517A41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kterému nebyl uložen zákaz činnosti související s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projektem, na který má být poskytnuta dotace,</w:t>
      </w:r>
    </w:p>
    <w:p w:rsidRPr="0058332A" w:rsidR="00984476" w:rsidP="00452CA4" w:rsidRDefault="00984476" w14:paraId="36AF86EE" w14:textId="77777777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vůči kterému (popř. vůči jeho majetku) není navrhováno nebo vedeno řízení o výkonu soudního či</w:t>
      </w:r>
      <w:r w:rsidRPr="31F8E16D" w:rsidR="0036365E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správního rozhodnutí či není navrhována či prováděna exekuce,</w:t>
      </w:r>
    </w:p>
    <w:p w:rsidRPr="0058332A" w:rsidR="0002017C" w:rsidP="00452CA4" w:rsidRDefault="4187F7BF" w14:paraId="5CD37B2E" w14:textId="07EAAE49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2CE807FD">
        <w:rPr>
          <w:rFonts w:ascii="Times New Roman" w:hAnsi="Times New Roman"/>
          <w:b w:val="0"/>
        </w:rPr>
        <w:t>který nemá v</w:t>
      </w:r>
      <w:r w:rsidR="0087667A">
        <w:rPr>
          <w:rFonts w:ascii="Times New Roman" w:hAnsi="Times New Roman"/>
          <w:b w:val="0"/>
        </w:rPr>
        <w:t> </w:t>
      </w:r>
      <w:r w:rsidRPr="2CE807FD">
        <w:rPr>
          <w:rFonts w:ascii="Times New Roman" w:hAnsi="Times New Roman"/>
          <w:b w:val="0"/>
        </w:rPr>
        <w:t>rejstříku záznam o pravomocném odsouzení pro trestný čin, jehož skutková podstata souvisí s</w:t>
      </w:r>
      <w:r w:rsidR="0087667A">
        <w:rPr>
          <w:rFonts w:ascii="Times New Roman" w:hAnsi="Times New Roman"/>
          <w:b w:val="0"/>
        </w:rPr>
        <w:t> </w:t>
      </w:r>
      <w:r w:rsidRPr="2CE807FD">
        <w:rPr>
          <w:rFonts w:ascii="Times New Roman" w:hAnsi="Times New Roman"/>
          <w:b w:val="0"/>
        </w:rPr>
        <w:t>jeho předmětem podnikání, paděláním či pozměňováním veřejné listiny nebo úplatkářstvím, nebo pro trestný čin hospodářský nebo trestný čin proti majetku, je-li žadatel právnickou osobou, týká se prohlášení podle tohoto ustanovení všech osob, které jsou jejím statutárním orgánem nebo obdržely plnou moc za účelem zastupování právnické osoby pro účely podání žádosti a uzavření a realizace smlouvy o poskytnutí dotace.</w:t>
      </w:r>
    </w:p>
    <w:p w:rsidR="7D727F3C" w:rsidP="00452CA4" w:rsidRDefault="7D727F3C" w14:paraId="728C481B" w14:textId="6221CD3B">
      <w:pPr>
        <w:pStyle w:val="Odstavecseseznamem"/>
        <w:numPr>
          <w:ilvl w:val="1"/>
          <w:numId w:val="26"/>
        </w:numPr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2CE807FD">
        <w:rPr>
          <w:rFonts w:ascii="Times New Roman" w:hAnsi="Times New Roman"/>
          <w:b w:val="0"/>
        </w:rPr>
        <w:lastRenderedPageBreak/>
        <w:t xml:space="preserve">vůči kterému nejsou uplatňována omezující opatření podle předpisů Evropské unie </w:t>
      </w:r>
      <w:r w:rsidRPr="2CE807FD" w:rsidR="2C5E09CC">
        <w:rPr>
          <w:rFonts w:ascii="Times New Roman" w:hAnsi="Times New Roman"/>
          <w:b w:val="0"/>
        </w:rPr>
        <w:t>a</w:t>
      </w:r>
      <w:r w:rsidRPr="2CE807FD" w:rsidR="1F90DD04">
        <w:rPr>
          <w:rFonts w:ascii="Times New Roman" w:hAnsi="Times New Roman"/>
          <w:b w:val="0"/>
        </w:rPr>
        <w:t xml:space="preserve"> předpisů ČR</w:t>
      </w:r>
      <w:r w:rsidRPr="2CE807FD">
        <w:rPr>
          <w:rStyle w:val="Znakapoznpodarou"/>
          <w:rFonts w:ascii="Times New Roman" w:hAnsi="Times New Roman"/>
          <w:b w:val="0"/>
        </w:rPr>
        <w:footnoteReference w:id="4"/>
      </w:r>
    </w:p>
    <w:p w:rsidRPr="00246189" w:rsidR="00984476" w:rsidP="00452CA4" w:rsidRDefault="00984476" w14:paraId="00D68B02" w14:textId="77777777">
      <w:pPr>
        <w:pStyle w:val="Odstavecseseznamem"/>
        <w:numPr>
          <w:ilvl w:val="0"/>
          <w:numId w:val="2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 xml:space="preserve">Povinnosti poskytovatele veřejné podpory malého rozsahu jsou uvedeny např. ve vnitřním </w:t>
      </w:r>
      <w:r w:rsidRPr="31F8E16D" w:rsidR="00EF0830">
        <w:rPr>
          <w:rFonts w:ascii="Times New Roman" w:hAnsi="Times New Roman"/>
          <w:b w:val="0"/>
        </w:rPr>
        <w:t>předpisu</w:t>
      </w:r>
      <w:r w:rsidRPr="31F8E16D" w:rsidR="00EF0830">
        <w:rPr>
          <w:rStyle w:val="Znakapoznpodarou"/>
          <w:rFonts w:ascii="Times New Roman" w:hAnsi="Times New Roman"/>
          <w:b w:val="0"/>
        </w:rPr>
        <w:t>2</w:t>
      </w:r>
      <w:r w:rsidRPr="31F8E16D" w:rsidR="005A3359">
        <w:rPr>
          <w:rFonts w:ascii="Times New Roman" w:hAnsi="Times New Roman"/>
          <w:b w:val="0"/>
        </w:rPr>
        <w:t xml:space="preserve">. </w:t>
      </w:r>
      <w:r w:rsidRPr="31F8E16D">
        <w:rPr>
          <w:rFonts w:ascii="Times New Roman" w:hAnsi="Times New Roman"/>
          <w:b w:val="0"/>
        </w:rPr>
        <w:t>Nejdůležitější ustanovení:</w:t>
      </w:r>
    </w:p>
    <w:p w:rsidRPr="00EC14F6" w:rsidR="00984476" w:rsidP="00452CA4" w:rsidRDefault="00984476" w14:paraId="5775EEE2" w14:textId="3FAB6935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žadatelům, vůči nimž je vystaven inkasní příkaz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návaznosti na rozhodnutí Evropské komise o</w:t>
      </w:r>
      <w:r w:rsidRPr="31F8E16D" w:rsidR="0002017C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protiprávní podpoře a její neslučitelnosti s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vnitřním trhem, který dosud nebyl splacen, nelze</w:t>
      </w:r>
      <w:r w:rsidRPr="31F8E16D" w:rsidR="0036365E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dotaci poskytnout,</w:t>
      </w:r>
    </w:p>
    <w:p w:rsidRPr="00246189" w:rsidR="00984476" w:rsidP="00452CA4" w:rsidRDefault="00984476" w14:paraId="1A7A3F27" w14:textId="2AF03ACF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>u žadatelů, kteří jsou součástí skupiny podniků se zahraničními vazbami, je centrální administrátor povinen dále ověřit, že není vystaven inkasní příkaz, který dosud nebyl splacen, vůči žádnému subjektu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této skupině (tj. ani propojeným zahraničním společnostem), a to tím způsobem, že zajistí od žadatele čestné prohlášení o tom, že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 xml:space="preserve">rámci skupiny podniků, do níž příslušný </w:t>
      </w:r>
      <w:r w:rsidRPr="31F8E16D" w:rsidR="00BC085C">
        <w:rPr>
          <w:rFonts w:ascii="Times New Roman" w:hAnsi="Times New Roman"/>
          <w:b w:val="0"/>
        </w:rPr>
        <w:t>žadatel</w:t>
      </w:r>
      <w:r w:rsidRPr="31F8E16D">
        <w:rPr>
          <w:rFonts w:ascii="Times New Roman" w:hAnsi="Times New Roman"/>
          <w:b w:val="0"/>
        </w:rPr>
        <w:t xml:space="preserve"> patří, není vystaven inkasní příkaz, který dosud nebyl splacen, zahraničním propojeným subjektům, přičemž žadatel by měl toto ověřit minimálně u své mateřské společnosti. Vzor </w:t>
      </w:r>
      <w:r w:rsidRPr="31F8E16D" w:rsidR="00E0278E">
        <w:rPr>
          <w:rFonts w:ascii="Times New Roman" w:hAnsi="Times New Roman"/>
          <w:b w:val="0"/>
        </w:rPr>
        <w:t xml:space="preserve">příslušného </w:t>
      </w:r>
      <w:r w:rsidRPr="31F8E16D">
        <w:rPr>
          <w:rFonts w:ascii="Times New Roman" w:hAnsi="Times New Roman"/>
          <w:b w:val="0"/>
        </w:rPr>
        <w:t>čestného prohlášení je uveden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 xml:space="preserve">příloze </w:t>
      </w:r>
      <w:r w:rsidRPr="31F8E16D" w:rsidR="00EF0830">
        <w:rPr>
          <w:rFonts w:ascii="Times New Roman" w:hAnsi="Times New Roman"/>
          <w:b w:val="0"/>
        </w:rPr>
        <w:t xml:space="preserve">4 </w:t>
      </w:r>
      <w:r w:rsidRPr="31F8E16D" w:rsidR="006F231A">
        <w:rPr>
          <w:rFonts w:ascii="Times New Roman" w:hAnsi="Times New Roman"/>
          <w:b w:val="0"/>
        </w:rPr>
        <w:t>předpisu</w:t>
      </w:r>
      <w:r w:rsidRPr="31F8E16D">
        <w:rPr>
          <w:rFonts w:ascii="Times New Roman" w:hAnsi="Times New Roman"/>
          <w:b w:val="0"/>
        </w:rPr>
        <w:t>.</w:t>
      </w:r>
    </w:p>
    <w:p w:rsidR="00984476" w:rsidP="00452CA4" w:rsidRDefault="00984476" w14:paraId="4AC14744" w14:textId="598AFEAF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31F8E16D">
        <w:rPr>
          <w:rFonts w:ascii="Times New Roman" w:hAnsi="Times New Roman"/>
          <w:b w:val="0"/>
        </w:rPr>
        <w:t xml:space="preserve">po obdržení žadatelem vyplněného čestného prohlášení provede centrální administrátor kontrolu žadatelem uvedených skutečností ohledně vystavených inkasních příkazů, a to na webové stránce Ministerstva zemědělství </w:t>
      </w:r>
      <w:hyperlink r:id="rId14">
        <w:r w:rsidRPr="31F8E16D">
          <w:rPr>
            <w:rStyle w:val="Hypertextovodkaz"/>
            <w:rFonts w:ascii="Times New Roman" w:hAnsi="Times New Roman"/>
            <w:b w:val="0"/>
          </w:rPr>
          <w:t>http://eagri.cz/public/web/mze/dotace/verejna-podpora-a-de-minimis/nesplacene-inkasni-prikazy/</w:t>
        </w:r>
      </w:hyperlink>
      <w:r w:rsidRPr="31F8E16D">
        <w:rPr>
          <w:rFonts w:ascii="Times New Roman" w:hAnsi="Times New Roman"/>
          <w:b w:val="0"/>
        </w:rPr>
        <w:t xml:space="preserve"> či Úřadu pro ochranu hospodářské soutěže </w:t>
      </w:r>
      <w:hyperlink r:id="rId15">
        <w:r w:rsidRPr="31F8E16D">
          <w:rPr>
            <w:rFonts w:ascii="Times New Roman" w:hAnsi="Times New Roman"/>
            <w:b w:val="0"/>
            <w:color w:val="0000FF"/>
            <w:u w:val="single"/>
          </w:rPr>
          <w:t>http://www.uohs.cz/cs/verejna-podpora/nesplacene-inkasni-prikazy.html</w:t>
        </w:r>
      </w:hyperlink>
      <w:r w:rsidRPr="31F8E16D">
        <w:rPr>
          <w:rFonts w:ascii="Times New Roman" w:hAnsi="Times New Roman"/>
          <w:b w:val="0"/>
        </w:rPr>
        <w:t>. V</w:t>
      </w:r>
      <w:r w:rsidR="0087667A">
        <w:rPr>
          <w:rFonts w:ascii="Times New Roman" w:hAnsi="Times New Roman"/>
          <w:b w:val="0"/>
        </w:rPr>
        <w:t> </w:t>
      </w:r>
      <w:r w:rsidRPr="31F8E16D">
        <w:rPr>
          <w:rFonts w:ascii="Times New Roman" w:hAnsi="Times New Roman"/>
          <w:b w:val="0"/>
        </w:rPr>
        <w:t>případě zjištění existence nesplaceného inkasního příkazu nesmí být dotace poskytnuta</w:t>
      </w:r>
      <w:r w:rsidRPr="31F8E16D" w:rsidR="00CD7324">
        <w:rPr>
          <w:rFonts w:ascii="Times New Roman" w:hAnsi="Times New Roman"/>
          <w:b w:val="0"/>
        </w:rPr>
        <w:t>. Centrální administrátor bude o existenci nesplaceného inkasního příkazu informovat orgán kraje, který rozhoduje o</w:t>
      </w:r>
      <w:r w:rsidRPr="31F8E16D" w:rsidR="00DB7D63">
        <w:rPr>
          <w:rFonts w:ascii="Times New Roman" w:hAnsi="Times New Roman"/>
          <w:b w:val="0"/>
        </w:rPr>
        <w:t> </w:t>
      </w:r>
      <w:r w:rsidRPr="31F8E16D" w:rsidR="00CD7324">
        <w:rPr>
          <w:rFonts w:ascii="Times New Roman" w:hAnsi="Times New Roman"/>
          <w:b w:val="0"/>
        </w:rPr>
        <w:t>schválení dotace</w:t>
      </w:r>
      <w:r w:rsidRPr="31F8E16D">
        <w:rPr>
          <w:rFonts w:ascii="Times New Roman" w:hAnsi="Times New Roman"/>
          <w:b w:val="0"/>
        </w:rPr>
        <w:t>.</w:t>
      </w:r>
    </w:p>
    <w:p w:rsidR="0002017C" w:rsidP="00452CA4" w:rsidRDefault="0002017C" w14:paraId="5997CC1D" w14:textId="7A8E67DA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452CA4" w:rsidP="00452CA4" w:rsidRDefault="00452CA4" w14:paraId="4433217D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452CA4" w:rsidRDefault="00984476" w14:paraId="12AC4BD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1" w:id="11"/>
      <w:r w:rsidRPr="005E102E">
        <w:rPr>
          <w:b/>
          <w:sz w:val="22"/>
          <w:szCs w:val="22"/>
        </w:rPr>
        <w:t>Čl. IV.</w:t>
      </w:r>
      <w:bookmarkEnd w:id="11"/>
    </w:p>
    <w:p w:rsidRPr="005E102E" w:rsidR="00984476" w:rsidP="00452CA4" w:rsidRDefault="00984476" w14:paraId="47083279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2" w:id="12"/>
      <w:r w:rsidRPr="005E102E">
        <w:rPr>
          <w:b/>
          <w:sz w:val="22"/>
          <w:szCs w:val="22"/>
        </w:rPr>
        <w:t xml:space="preserve">Způsoby poskytnutí </w:t>
      </w:r>
      <w:bookmarkEnd w:id="12"/>
      <w:r w:rsidRPr="005E102E">
        <w:rPr>
          <w:b/>
          <w:sz w:val="22"/>
          <w:szCs w:val="22"/>
        </w:rPr>
        <w:t>dotace</w:t>
      </w:r>
    </w:p>
    <w:p w:rsidRPr="00246189" w:rsidR="00984476" w:rsidP="00452CA4" w:rsidRDefault="00984476" w14:paraId="62EFADB7" w14:textId="77777777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Dotace je poskytována:</w:t>
      </w:r>
    </w:p>
    <w:p w:rsidR="00AC0DD0" w:rsidP="004F0239" w:rsidRDefault="00984476" w14:paraId="40D855BB" w14:textId="445973F0">
      <w:pPr>
        <w:pStyle w:val="Odstavecseseznamem"/>
        <w:numPr>
          <w:ilvl w:val="1"/>
          <w:numId w:val="4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>rámci dotačního programu – určena vymezenému okruhu projektů a vymezené skupině žadatelů pro stanovené období,</w:t>
      </w:r>
    </w:p>
    <w:p w:rsidRPr="00AC0DD0" w:rsidR="00984476" w:rsidP="004F0239" w:rsidRDefault="00692D5F" w14:paraId="1108C9B4" w14:textId="648F36DB">
      <w:pPr>
        <w:pStyle w:val="Odstavecseseznamem"/>
        <w:numPr>
          <w:ilvl w:val="1"/>
          <w:numId w:val="4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individuálně</w:t>
      </w:r>
      <w:r w:rsidRPr="00AC0DD0" w:rsidR="00984476">
        <w:rPr>
          <w:rFonts w:ascii="Times New Roman" w:hAnsi="Times New Roman" w:eastAsia="Times New Roman"/>
          <w:b w:val="0"/>
        </w:rPr>
        <w:t xml:space="preserve"> – určena pro konkrétního žadatele z</w:t>
      </w:r>
      <w:r w:rsidR="0087667A">
        <w:rPr>
          <w:rFonts w:ascii="Times New Roman" w:hAnsi="Times New Roman" w:eastAsia="Times New Roman"/>
          <w:b w:val="0"/>
        </w:rPr>
        <w:t> </w:t>
      </w:r>
      <w:r w:rsidRPr="00AC0DD0" w:rsidR="00984476">
        <w:rPr>
          <w:rFonts w:ascii="Times New Roman" w:hAnsi="Times New Roman" w:eastAsia="Times New Roman"/>
          <w:b w:val="0"/>
        </w:rPr>
        <w:t xml:space="preserve">důvodu hodného zvláštního zřetele pro žadatelem specifikovaný </w:t>
      </w:r>
      <w:r>
        <w:rPr>
          <w:rFonts w:ascii="Times New Roman" w:hAnsi="Times New Roman" w:eastAsia="Times New Roman"/>
          <w:b w:val="0"/>
        </w:rPr>
        <w:t>účel</w:t>
      </w:r>
      <w:r w:rsidRPr="00AC0DD0" w:rsidR="00984476">
        <w:rPr>
          <w:rFonts w:ascii="Times New Roman" w:hAnsi="Times New Roman" w:eastAsia="Times New Roman"/>
          <w:b w:val="0"/>
        </w:rPr>
        <w:t>.</w:t>
      </w:r>
    </w:p>
    <w:p w:rsidR="005E102E" w:rsidP="00452CA4" w:rsidRDefault="005E102E" w14:paraId="110FFD37" w14:textId="68CC3C08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573" w:id="13"/>
    </w:p>
    <w:p w:rsidRPr="00452CA4" w:rsidR="00452CA4" w:rsidP="00452CA4" w:rsidRDefault="00452CA4" w14:paraId="7E27E016" w14:textId="77777777"/>
    <w:p w:rsidRPr="005E102E" w:rsidR="00984476" w:rsidP="00452CA4" w:rsidRDefault="00984476" w14:paraId="52D6460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V.</w:t>
      </w:r>
      <w:bookmarkEnd w:id="13"/>
    </w:p>
    <w:p w:rsidRPr="005E102E" w:rsidR="00984476" w:rsidP="00452CA4" w:rsidRDefault="00984476" w14:paraId="4ADA4CA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4" w:id="14"/>
      <w:r w:rsidRPr="005E102E">
        <w:rPr>
          <w:b/>
          <w:sz w:val="22"/>
          <w:szCs w:val="22"/>
        </w:rPr>
        <w:t>Příprava</w:t>
      </w:r>
      <w:bookmarkEnd w:id="14"/>
      <w:r w:rsidRPr="005E102E">
        <w:rPr>
          <w:b/>
          <w:sz w:val="22"/>
          <w:szCs w:val="22"/>
        </w:rPr>
        <w:t xml:space="preserve"> nového dotačního období</w:t>
      </w:r>
    </w:p>
    <w:p w:rsidR="00984476" w:rsidP="00452CA4" w:rsidRDefault="00984476" w14:paraId="0396F5F0" w14:textId="5CE9C4DC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Centrální administrátor ve spolupráci s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příslušnými odbory připraví podklady o celkovém počtu dotačních programů (tj. stávající, nové, změny) a jejich </w:t>
      </w:r>
      <w:r>
        <w:rPr>
          <w:rFonts w:ascii="Times New Roman" w:hAnsi="Times New Roman"/>
          <w:b w:val="0"/>
        </w:rPr>
        <w:t xml:space="preserve">předpokládané </w:t>
      </w:r>
      <w:r w:rsidRPr="00246189">
        <w:rPr>
          <w:rFonts w:ascii="Times New Roman" w:hAnsi="Times New Roman"/>
          <w:b w:val="0"/>
        </w:rPr>
        <w:t xml:space="preserve">financování pro příslušný kalendářní rok pro rozhodnutí </w:t>
      </w:r>
      <w:r>
        <w:rPr>
          <w:rFonts w:ascii="Times New Roman" w:hAnsi="Times New Roman"/>
          <w:b w:val="0"/>
        </w:rPr>
        <w:t>o případných změnách v</w:t>
      </w:r>
      <w:r w:rsidR="0087667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dotačních programech </w:t>
      </w:r>
      <w:r w:rsidRPr="00246189">
        <w:rPr>
          <w:rFonts w:ascii="Times New Roman" w:hAnsi="Times New Roman"/>
          <w:b w:val="0"/>
        </w:rPr>
        <w:t>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orgánech kraje, a to</w:t>
      </w:r>
      <w:r w:rsidR="0036365E">
        <w:rPr>
          <w:rFonts w:ascii="Times New Roman" w:hAnsi="Times New Roman"/>
          <w:b w:val="0"/>
        </w:rPr>
        <w:t> </w:t>
      </w:r>
      <w:r w:rsidR="00D163EA">
        <w:rPr>
          <w:rFonts w:ascii="Times New Roman" w:hAnsi="Times New Roman"/>
          <w:b w:val="0"/>
        </w:rPr>
        <w:t xml:space="preserve">zpravidla </w:t>
      </w:r>
      <w:r w:rsidRPr="00246189">
        <w:rPr>
          <w:rFonts w:ascii="Times New Roman" w:hAnsi="Times New Roman"/>
          <w:b w:val="0"/>
        </w:rPr>
        <w:t>do</w:t>
      </w:r>
      <w:r>
        <w:rPr>
          <w:rFonts w:ascii="Times New Roman" w:hAnsi="Times New Roman"/>
          <w:b w:val="0"/>
        </w:rPr>
        <w:t> </w:t>
      </w:r>
      <w:r w:rsidR="00D163EA">
        <w:rPr>
          <w:rFonts w:ascii="Times New Roman" w:hAnsi="Times New Roman"/>
          <w:b w:val="0"/>
        </w:rPr>
        <w:t>31. 8.</w:t>
      </w:r>
      <w:r w:rsidRPr="00246189">
        <w:rPr>
          <w:rFonts w:ascii="Times New Roman" w:hAnsi="Times New Roman"/>
          <w:b w:val="0"/>
        </w:rPr>
        <w:t xml:space="preserve"> příslušného roku.</w:t>
      </w:r>
    </w:p>
    <w:p w:rsidR="005E102E" w:rsidP="00452CA4" w:rsidRDefault="005E102E" w14:paraId="6B699379" w14:textId="5ACC9C62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246189" w:rsidR="00452CA4" w:rsidP="00452CA4" w:rsidRDefault="00452CA4" w14:paraId="7698471F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452CA4" w:rsidRDefault="00984476" w14:paraId="13438B64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5" w:id="15"/>
      <w:r w:rsidRPr="005E102E">
        <w:rPr>
          <w:b/>
          <w:sz w:val="22"/>
          <w:szCs w:val="22"/>
        </w:rPr>
        <w:t>Čl. VI.</w:t>
      </w:r>
      <w:bookmarkEnd w:id="15"/>
    </w:p>
    <w:p w:rsidRPr="005E102E" w:rsidR="00984476" w:rsidP="00452CA4" w:rsidRDefault="00984476" w14:paraId="3B27EB90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6" w:id="16"/>
      <w:r w:rsidRPr="005E102E">
        <w:rPr>
          <w:b/>
          <w:sz w:val="22"/>
          <w:szCs w:val="22"/>
        </w:rPr>
        <w:t>Vznik dotačního programu</w:t>
      </w:r>
      <w:bookmarkEnd w:id="16"/>
    </w:p>
    <w:p w:rsidRPr="00246189" w:rsidR="00984476" w:rsidP="00452CA4" w:rsidRDefault="006A63C1" w14:paraId="0DF621A8" w14:textId="394F3BE1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>Příslušný odbor</w:t>
      </w:r>
      <w:r w:rsidRPr="00C171DA" w:rsidR="00984476">
        <w:rPr>
          <w:rFonts w:ascii="Times New Roman" w:hAnsi="Times New Roman" w:eastAsia="Times New Roman"/>
          <w:b w:val="0"/>
        </w:rPr>
        <w:t xml:space="preserve"> ve spolupráci s</w:t>
      </w:r>
      <w:r w:rsidRPr="00C171DA">
        <w:rPr>
          <w:rFonts w:ascii="Times New Roman" w:hAnsi="Times New Roman" w:eastAsia="Times New Roman"/>
          <w:b w:val="0"/>
        </w:rPr>
        <w:t> centrálním administrátorem</w:t>
      </w:r>
      <w:r w:rsidRPr="00C171DA" w:rsidR="00984476">
        <w:rPr>
          <w:rFonts w:ascii="Times New Roman" w:hAnsi="Times New Roman" w:eastAsia="Times New Roman"/>
          <w:b w:val="0"/>
        </w:rPr>
        <w:t xml:space="preserve"> zpracuje a připraví návrh dotačního</w:t>
      </w:r>
      <w:r w:rsidRPr="00246189" w:rsidR="00984476">
        <w:rPr>
          <w:rFonts w:ascii="Times New Roman" w:hAnsi="Times New Roman" w:eastAsia="Times New Roman"/>
          <w:b w:val="0"/>
        </w:rPr>
        <w:t xml:space="preserve"> programu dle specifických potřeb konkrétního dotačního programu. 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 w:rsidR="00984476">
        <w:rPr>
          <w:rFonts w:ascii="Times New Roman" w:hAnsi="Times New Roman" w:eastAsia="Times New Roman"/>
          <w:b w:val="0"/>
        </w:rPr>
        <w:t xml:space="preserve">materiálech pro jednání příslušných orgánů kraje musí </w:t>
      </w:r>
      <w:r w:rsidRPr="00246189" w:rsidR="00984476">
        <w:rPr>
          <w:rFonts w:ascii="Times New Roman" w:hAnsi="Times New Roman"/>
          <w:b w:val="0"/>
        </w:rPr>
        <w:t>k</w:t>
      </w:r>
      <w:r w:rsidR="0087667A">
        <w:rPr>
          <w:rFonts w:ascii="Times New Roman" w:hAnsi="Times New Roman"/>
          <w:b w:val="0"/>
        </w:rPr>
        <w:t> </w:t>
      </w:r>
      <w:r w:rsidRPr="00246189" w:rsidR="00984476">
        <w:rPr>
          <w:rFonts w:ascii="Times New Roman" w:hAnsi="Times New Roman"/>
          <w:b w:val="0"/>
        </w:rPr>
        <w:t>dotačnímu programu zcela jasně definovat níže uvedené parametry:</w:t>
      </w:r>
    </w:p>
    <w:p w:rsidRPr="00246189" w:rsidR="00984476" w:rsidP="00452CA4" w:rsidRDefault="00984476" w14:paraId="58AD2505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lastRenderedPageBreak/>
        <w:t>název dotačního programu,</w:t>
      </w:r>
    </w:p>
    <w:p w:rsidRPr="004914B9" w:rsidR="00984476" w:rsidP="00452CA4" w:rsidRDefault="00984476" w14:paraId="1165A503" w14:textId="69FD3484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4914B9">
        <w:rPr>
          <w:rFonts w:ascii="Times New Roman" w:hAnsi="Times New Roman" w:eastAsia="Times New Roman"/>
          <w:b w:val="0"/>
        </w:rPr>
        <w:t>výchozí podmínky pro vyhlášení dotačního programu (vazba na rozvojové dokumenty</w:t>
      </w:r>
      <w:r w:rsidRPr="004914B9" w:rsidR="00AC0DD0">
        <w:rPr>
          <w:rFonts w:ascii="Times New Roman" w:hAnsi="Times New Roman" w:eastAsia="Times New Roman"/>
          <w:b w:val="0"/>
        </w:rPr>
        <w:t xml:space="preserve"> kraje</w:t>
      </w:r>
      <w:r w:rsidRPr="004914B9">
        <w:rPr>
          <w:rFonts w:ascii="Times New Roman" w:hAnsi="Times New Roman" w:eastAsia="Times New Roman"/>
          <w:b w:val="0"/>
        </w:rPr>
        <w:t>) nebo</w:t>
      </w:r>
      <w:r w:rsidR="0036365E">
        <w:rPr>
          <w:rFonts w:ascii="Times New Roman" w:hAnsi="Times New Roman" w:eastAsia="Times New Roman"/>
          <w:b w:val="0"/>
        </w:rPr>
        <w:t> </w:t>
      </w:r>
      <w:r w:rsidRPr="004914B9">
        <w:rPr>
          <w:rFonts w:ascii="Times New Roman" w:hAnsi="Times New Roman" w:eastAsia="Times New Roman"/>
          <w:b w:val="0"/>
        </w:rPr>
        <w:t>jiné důvody k</w:t>
      </w:r>
      <w:r w:rsidR="0087667A">
        <w:rPr>
          <w:rFonts w:ascii="Times New Roman" w:hAnsi="Times New Roman" w:eastAsia="Times New Roman"/>
          <w:b w:val="0"/>
        </w:rPr>
        <w:t> </w:t>
      </w:r>
      <w:r w:rsidRPr="004914B9">
        <w:rPr>
          <w:rFonts w:ascii="Times New Roman" w:hAnsi="Times New Roman" w:eastAsia="Times New Roman"/>
          <w:b w:val="0"/>
        </w:rPr>
        <w:t>vyhlášení dotačního programu,</w:t>
      </w:r>
      <w:r w:rsidRPr="004914B9" w:rsidR="00AC0DD0">
        <w:rPr>
          <w:rFonts w:ascii="Times New Roman" w:hAnsi="Times New Roman" w:eastAsia="Times New Roman"/>
          <w:b w:val="0"/>
        </w:rPr>
        <w:t xml:space="preserve"> tj. cíle, kterého se má vyhlášením dotačního programu dosáhnout ve vazbě na rozvoj kraje, případně možné alternativy dosažení definovaného cíle, případně, proč nelze cíle dosáhnout jiným způsobem,</w:t>
      </w:r>
    </w:p>
    <w:p w:rsidRPr="00246189" w:rsidR="00984476" w:rsidP="00452CA4" w:rsidRDefault="00984476" w14:paraId="503C5B5D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důvody poskytnutí dotace,</w:t>
      </w:r>
    </w:p>
    <w:p w:rsidRPr="00246189" w:rsidR="00984476" w:rsidP="00452CA4" w:rsidRDefault="00984476" w14:paraId="2DB0E852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účel, na který může být dotace </w:t>
      </w:r>
      <w:r w:rsidR="00620A25">
        <w:rPr>
          <w:rFonts w:ascii="Times New Roman" w:hAnsi="Times New Roman" w:eastAsia="Times New Roman"/>
          <w:b w:val="0"/>
        </w:rPr>
        <w:t>poskytnuta</w:t>
      </w:r>
      <w:r w:rsidRPr="00246189">
        <w:rPr>
          <w:rFonts w:ascii="Times New Roman" w:hAnsi="Times New Roman" w:eastAsia="Times New Roman"/>
          <w:b w:val="0"/>
        </w:rPr>
        <w:t>,</w:t>
      </w:r>
    </w:p>
    <w:p w:rsidRPr="00246189" w:rsidR="00984476" w:rsidP="00452CA4" w:rsidRDefault="00984476" w14:paraId="782CB644" w14:textId="31D4ADBC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předpokládaný celkový objem peněžních prostředků vyčleněných 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>rozpočtu na podporu stanoveného účelu (alokovaná částka na dotační program),</w:t>
      </w:r>
    </w:p>
    <w:p w:rsidRPr="00246189" w:rsidR="00984476" w:rsidP="00452CA4" w:rsidRDefault="00984476" w14:paraId="5768B1B7" w14:textId="4719C07D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maximální výši dotace 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>jednotlivém případě nebo kritéria pro stanovení výše dotace,</w:t>
      </w:r>
    </w:p>
    <w:p w:rsidR="00984476" w:rsidP="00452CA4" w:rsidRDefault="00984476" w14:paraId="0DB4A16C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skutečnost, zda žadatel smí podat pouze jednu žádost za stanovené období nebo povolený počet žádostí na jednoho žadatele a stanovené období,</w:t>
      </w:r>
    </w:p>
    <w:p w:rsidRPr="00246189" w:rsidR="00984476" w:rsidP="00452CA4" w:rsidRDefault="00984476" w14:paraId="45962FCF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okruh způsobilých žadatelů, </w:t>
      </w:r>
    </w:p>
    <w:p w:rsidRPr="00246189" w:rsidR="00984476" w:rsidP="00452CA4" w:rsidRDefault="00984476" w14:paraId="6DC404B0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charakter dotace (investiční, neinvestiční nebo kombinace),</w:t>
      </w:r>
    </w:p>
    <w:p w:rsidRPr="00246189" w:rsidR="00984476" w:rsidP="00452CA4" w:rsidRDefault="00984476" w14:paraId="39324EC4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lhůtu pro podání žádostí,</w:t>
      </w:r>
    </w:p>
    <w:p w:rsidRPr="00246189" w:rsidR="00984476" w:rsidP="00452CA4" w:rsidRDefault="00984476" w14:paraId="0E5E43B4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kritéria pro hodnocení žádosti,</w:t>
      </w:r>
    </w:p>
    <w:p w:rsidRPr="00246189" w:rsidR="00984476" w:rsidP="00452CA4" w:rsidRDefault="00984476" w14:paraId="37F42455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lhůtu pro rozhodnutí o žádosti,</w:t>
      </w:r>
    </w:p>
    <w:p w:rsidRPr="00246189" w:rsidR="00984476" w:rsidP="00452CA4" w:rsidRDefault="00984476" w14:paraId="370D896A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další podmínky pro poskytnutí dotace,</w:t>
      </w:r>
    </w:p>
    <w:p w:rsidRPr="00246189" w:rsidR="00984476" w:rsidP="00452CA4" w:rsidRDefault="00984476" w14:paraId="51610E1E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vzor žádosti, případně obsah jejich příloh.</w:t>
      </w:r>
    </w:p>
    <w:p w:rsidRPr="00246189" w:rsidR="002B0379" w:rsidP="00452CA4" w:rsidRDefault="00984476" w14:paraId="2A756C7E" w14:textId="77777777">
      <w:pPr>
        <w:pStyle w:val="Odstavecseseznamem"/>
        <w:suppressAutoHyphens/>
        <w:spacing w:before="120" w:after="0" w:line="240" w:lineRule="auto"/>
        <w:ind w:left="397"/>
        <w:contextualSpacing w:val="0"/>
        <w:jc w:val="both"/>
        <w:rPr>
          <w:rFonts w:ascii="Times New Roman" w:hAnsi="Times New Roman" w:eastAsia="Times New Roman"/>
          <w:b w:val="0"/>
        </w:rPr>
      </w:pPr>
      <w:r w:rsidRPr="00683CB1">
        <w:rPr>
          <w:rFonts w:ascii="Times New Roman" w:hAnsi="Times New Roman" w:eastAsia="Times New Roman"/>
          <w:b w:val="0"/>
        </w:rPr>
        <w:t>Náležitosti e), f), g), j) až n) je možné uvést nejpozději při zveřejnění programu.</w:t>
      </w:r>
    </w:p>
    <w:p w:rsidRPr="00246189" w:rsidR="00984476" w:rsidP="00452CA4" w:rsidRDefault="00984476" w14:paraId="4284FD16" w14:textId="77777777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Centrální administrátor zajistí, aby návrh usnesení pro jednání příslušných orgánů obsahoval:</w:t>
      </w:r>
    </w:p>
    <w:p w:rsidRPr="00246189" w:rsidR="00984476" w:rsidP="00452CA4" w:rsidRDefault="00984476" w14:paraId="07055CD9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případné zrušení předchozích nebo souvisejících dotačních programů,</w:t>
      </w:r>
    </w:p>
    <w:p w:rsidRPr="00246189" w:rsidR="00984476" w:rsidP="00452CA4" w:rsidRDefault="00984476" w14:paraId="23542917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schválení dotačního programu,</w:t>
      </w:r>
    </w:p>
    <w:p w:rsidRPr="00246189" w:rsidR="00984476" w:rsidP="00452CA4" w:rsidRDefault="00984476" w14:paraId="57C93C46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z</w:t>
      </w:r>
      <w:r w:rsidRPr="00246189">
        <w:rPr>
          <w:rFonts w:ascii="Times New Roman" w:hAnsi="Times New Roman"/>
          <w:b w:val="0"/>
        </w:rPr>
        <w:t xml:space="preserve">mocnění </w:t>
      </w:r>
      <w:r>
        <w:rPr>
          <w:rFonts w:ascii="Times New Roman" w:hAnsi="Times New Roman"/>
          <w:b w:val="0"/>
        </w:rPr>
        <w:t xml:space="preserve">rady kraje </w:t>
      </w:r>
      <w:r w:rsidR="00B47428">
        <w:rPr>
          <w:rFonts w:ascii="Times New Roman" w:hAnsi="Times New Roman"/>
          <w:b w:val="0"/>
        </w:rPr>
        <w:t>k</w:t>
      </w:r>
      <w:r w:rsidR="00320E7E">
        <w:rPr>
          <w:rFonts w:ascii="Times New Roman" w:hAnsi="Times New Roman"/>
          <w:b w:val="0"/>
        </w:rPr>
        <w:t>e</w:t>
      </w:r>
      <w:r w:rsidR="00B47428">
        <w:rPr>
          <w:rFonts w:ascii="Times New Roman" w:hAnsi="Times New Roman"/>
          <w:b w:val="0"/>
        </w:rPr>
        <w:t xml:space="preserve"> změně</w:t>
      </w:r>
      <w:r w:rsidRPr="00246189">
        <w:rPr>
          <w:rFonts w:ascii="Times New Roman" w:hAnsi="Times New Roman"/>
          <w:b w:val="0"/>
        </w:rPr>
        <w:t xml:space="preserve"> dotačního programu.</w:t>
      </w:r>
    </w:p>
    <w:p w:rsidRPr="00246189" w:rsidR="00984476" w:rsidP="00452CA4" w:rsidRDefault="00984476" w14:paraId="312B5272" w14:textId="24F29D92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246189">
        <w:rPr>
          <w:rFonts w:ascii="Times New Roman" w:hAnsi="Times New Roman" w:eastAsia="Times New Roman"/>
          <w:b w:val="0"/>
        </w:rPr>
        <w:t xml:space="preserve">případě, že příslušný odbor ještě na dotační program nezajistil předpokládaný celkový objem peněžních </w:t>
      </w:r>
      <w:r w:rsidRPr="00806E9C">
        <w:rPr>
          <w:rFonts w:ascii="Times New Roman" w:hAnsi="Times New Roman" w:eastAsia="Times New Roman"/>
          <w:b w:val="0"/>
        </w:rPr>
        <w:t>prostředků (viz čl. V.)</w:t>
      </w:r>
      <w:r>
        <w:rPr>
          <w:rFonts w:ascii="Times New Roman" w:hAnsi="Times New Roman" w:eastAsia="Times New Roman"/>
          <w:b w:val="0"/>
        </w:rPr>
        <w:t>,</w:t>
      </w:r>
      <w:r w:rsidRPr="00806E9C">
        <w:rPr>
          <w:rFonts w:ascii="Times New Roman" w:hAnsi="Times New Roman" w:eastAsia="Times New Roman"/>
          <w:b w:val="0"/>
        </w:rPr>
        <w:t xml:space="preserve"> musí</w:t>
      </w:r>
      <w:r w:rsidRPr="00246189">
        <w:rPr>
          <w:rFonts w:ascii="Times New Roman" w:hAnsi="Times New Roman" w:eastAsia="Times New Roman"/>
          <w:b w:val="0"/>
        </w:rPr>
        <w:t xml:space="preserve"> návrh usnesení obsahovat i schválení objemu peněžních prostředků na dotační program.</w:t>
      </w:r>
    </w:p>
    <w:p w:rsidR="00984476" w:rsidP="00452CA4" w:rsidRDefault="00984476" w14:paraId="577ED586" w14:textId="52930959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C171DA">
        <w:rPr>
          <w:rFonts w:ascii="Times New Roman" w:hAnsi="Times New Roman"/>
          <w:b w:val="0"/>
        </w:rPr>
        <w:t xml:space="preserve">Záměr vzniku nového dotačního programu </w:t>
      </w:r>
      <w:r w:rsidRPr="00C171DA" w:rsidR="006A63C1">
        <w:rPr>
          <w:rFonts w:ascii="Times New Roman" w:hAnsi="Times New Roman"/>
          <w:b w:val="0"/>
        </w:rPr>
        <w:t>centrální administrátor</w:t>
      </w:r>
      <w:r w:rsidRPr="00C171DA">
        <w:rPr>
          <w:rFonts w:ascii="Times New Roman" w:hAnsi="Times New Roman"/>
          <w:b w:val="0"/>
        </w:rPr>
        <w:t xml:space="preserve"> ve spolupráci s</w:t>
      </w:r>
      <w:r w:rsidRPr="00C171DA" w:rsidR="006A63C1">
        <w:rPr>
          <w:rFonts w:ascii="Times New Roman" w:hAnsi="Times New Roman"/>
          <w:b w:val="0"/>
        </w:rPr>
        <w:t> příslušným odborem</w:t>
      </w:r>
      <w:r>
        <w:rPr>
          <w:rFonts w:ascii="Times New Roman" w:hAnsi="Times New Roman"/>
          <w:b w:val="0"/>
        </w:rPr>
        <w:t xml:space="preserve"> </w:t>
      </w:r>
      <w:r w:rsidRPr="00806E9C">
        <w:rPr>
          <w:rFonts w:ascii="Times New Roman" w:hAnsi="Times New Roman"/>
          <w:b w:val="0"/>
        </w:rPr>
        <w:t>postupně předloží k</w:t>
      </w:r>
      <w:r w:rsidR="0087667A">
        <w:rPr>
          <w:rFonts w:ascii="Times New Roman" w:hAnsi="Times New Roman"/>
          <w:b w:val="0"/>
        </w:rPr>
        <w:t> </w:t>
      </w:r>
      <w:r w:rsidRPr="00806E9C">
        <w:rPr>
          <w:rFonts w:ascii="Times New Roman" w:hAnsi="Times New Roman"/>
          <w:b w:val="0"/>
        </w:rPr>
        <w:t>projednání:</w:t>
      </w:r>
    </w:p>
    <w:p w:rsidRPr="00806E9C" w:rsidR="00984476" w:rsidP="00452CA4" w:rsidRDefault="00984476" w14:paraId="3ACF120F" w14:textId="4FAE437D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806E9C">
        <w:rPr>
          <w:rFonts w:ascii="Times New Roman" w:hAnsi="Times New Roman"/>
          <w:b w:val="0"/>
        </w:rPr>
        <w:t>příslušné komisi rady kraje, popř. výboru zastupitelstva kraje v</w:t>
      </w:r>
      <w:r w:rsidR="0087667A">
        <w:rPr>
          <w:rFonts w:ascii="Times New Roman" w:hAnsi="Times New Roman"/>
          <w:b w:val="0"/>
        </w:rPr>
        <w:t> </w:t>
      </w:r>
      <w:r w:rsidRPr="00806E9C">
        <w:rPr>
          <w:rFonts w:ascii="Times New Roman" w:hAnsi="Times New Roman"/>
          <w:b w:val="0"/>
        </w:rPr>
        <w:t>případě, že pro příslušnou oblast není zřízen jiný poradní orgán,</w:t>
      </w:r>
    </w:p>
    <w:p w:rsidRPr="00246189" w:rsidR="00984476" w:rsidP="00452CA4" w:rsidRDefault="00984476" w14:paraId="10DB6DB2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radě kraje,</w:t>
      </w:r>
    </w:p>
    <w:p w:rsidRPr="00246189" w:rsidR="00984476" w:rsidP="00452CA4" w:rsidRDefault="00984476" w14:paraId="7B85A3DF" w14:textId="77777777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>finančnímu výboru zastupitelstva kraje.</w:t>
      </w:r>
    </w:p>
    <w:p w:rsidR="00984476" w:rsidP="00452CA4" w:rsidRDefault="00984476" w14:paraId="3EB27DC0" w14:textId="77777777">
      <w:pPr>
        <w:pStyle w:val="Odstavecseseznamem"/>
        <w:numPr>
          <w:ilvl w:val="0"/>
          <w:numId w:val="2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Vznik dotačního programu schvaluje zastupitelstvo kraje.</w:t>
      </w:r>
    </w:p>
    <w:p w:rsidR="000277EA" w:rsidP="00452CA4" w:rsidRDefault="000277EA" w14:paraId="3FE9F23F" w14:textId="24156761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246189" w:rsidR="00452CA4" w:rsidP="00452CA4" w:rsidRDefault="00452CA4" w14:paraId="642BAB29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452CA4" w:rsidRDefault="00984476" w14:paraId="567592F9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7" w:id="17"/>
      <w:r w:rsidRPr="005E102E">
        <w:rPr>
          <w:b/>
          <w:sz w:val="22"/>
          <w:szCs w:val="22"/>
        </w:rPr>
        <w:t>Čl. VII.</w:t>
      </w:r>
      <w:bookmarkEnd w:id="17"/>
    </w:p>
    <w:p w:rsidRPr="005E102E" w:rsidR="00984476" w:rsidP="00452CA4" w:rsidRDefault="00984476" w14:paraId="3A51DC1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8" w:id="18"/>
      <w:r w:rsidRPr="005E102E">
        <w:rPr>
          <w:b/>
          <w:sz w:val="22"/>
          <w:szCs w:val="22"/>
        </w:rPr>
        <w:t>Změna dotačního programu</w:t>
      </w:r>
      <w:bookmarkEnd w:id="18"/>
    </w:p>
    <w:p w:rsidRPr="004F2E60" w:rsidR="00984476" w:rsidP="00452CA4" w:rsidRDefault="00984476" w14:paraId="4DCAE611" w14:textId="5D557E1F">
      <w:pPr>
        <w:pStyle w:val="Odstavecseseznamem"/>
        <w:numPr>
          <w:ilvl w:val="0"/>
          <w:numId w:val="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4F2E60">
        <w:rPr>
          <w:rFonts w:ascii="Times New Roman" w:hAnsi="Times New Roman" w:eastAsia="Times New Roman"/>
          <w:b w:val="0"/>
        </w:rPr>
        <w:t>Při změně dotačního programu se postupuje obdobným způsobem popsaným v</w:t>
      </w:r>
      <w:r w:rsidR="0087667A">
        <w:rPr>
          <w:rFonts w:ascii="Times New Roman" w:hAnsi="Times New Roman" w:eastAsia="Times New Roman"/>
          <w:b w:val="0"/>
        </w:rPr>
        <w:t> </w:t>
      </w:r>
      <w:r w:rsidRPr="004F2E60">
        <w:rPr>
          <w:rFonts w:ascii="Times New Roman" w:hAnsi="Times New Roman" w:eastAsia="Times New Roman"/>
          <w:b w:val="0"/>
        </w:rPr>
        <w:t>čl</w:t>
      </w:r>
      <w:r w:rsidRPr="00806E9C">
        <w:rPr>
          <w:rFonts w:ascii="Times New Roman" w:hAnsi="Times New Roman" w:eastAsia="Times New Roman"/>
          <w:b w:val="0"/>
        </w:rPr>
        <w:t xml:space="preserve">. VI. </w:t>
      </w:r>
      <w:r w:rsidRPr="00806E9C" w:rsidR="0087667A">
        <w:rPr>
          <w:rFonts w:ascii="Times New Roman" w:hAnsi="Times New Roman" w:eastAsia="Times New Roman"/>
          <w:b w:val="0"/>
        </w:rPr>
        <w:t>S</w:t>
      </w:r>
      <w:r w:rsidR="0087667A">
        <w:rPr>
          <w:rFonts w:ascii="Times New Roman" w:hAnsi="Times New Roman" w:eastAsia="Times New Roman"/>
          <w:b w:val="0"/>
        </w:rPr>
        <w:t> </w:t>
      </w:r>
      <w:r w:rsidRPr="004F2E60">
        <w:rPr>
          <w:rFonts w:ascii="Times New Roman" w:hAnsi="Times New Roman" w:eastAsia="Times New Roman"/>
          <w:b w:val="0"/>
        </w:rPr>
        <w:t>tím, že</w:t>
      </w:r>
      <w:r w:rsidR="000277EA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 xml:space="preserve">příslušný odbor </w:t>
      </w:r>
      <w:r w:rsidRPr="004F2E60">
        <w:rPr>
          <w:rFonts w:ascii="Times New Roman" w:hAnsi="Times New Roman"/>
          <w:b w:val="0"/>
        </w:rPr>
        <w:t>jednoznačně uvede, jaké parametry dotačního programu se mění a důvod změny.</w:t>
      </w:r>
    </w:p>
    <w:p w:rsidR="00D2363A" w:rsidP="00452CA4" w:rsidRDefault="00984476" w14:paraId="71D402D2" w14:textId="33D46279">
      <w:pPr>
        <w:pStyle w:val="Odstavecseseznamem"/>
        <w:numPr>
          <w:ilvl w:val="0"/>
          <w:numId w:val="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4F2E60">
        <w:rPr>
          <w:rFonts w:ascii="Times New Roman" w:hAnsi="Times New Roman" w:eastAsia="Times New Roman"/>
          <w:b w:val="0"/>
        </w:rPr>
        <w:lastRenderedPageBreak/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4F2E60">
        <w:rPr>
          <w:rFonts w:ascii="Times New Roman" w:hAnsi="Times New Roman" w:eastAsia="Times New Roman"/>
          <w:b w:val="0"/>
        </w:rPr>
        <w:t>případě, že se změna dotačního programu dotkne i schváleného či upraveného rozpočtu, musí být součástí usnesení i rozpočtová změna příslušné rozpočtové položky.</w:t>
      </w:r>
    </w:p>
    <w:p w:rsidR="004F0239" w:rsidP="00452CA4" w:rsidRDefault="004F0239" w14:paraId="1F72F646" w14:textId="1EAF751A">
      <w:pPr>
        <w:rPr>
          <w:sz w:val="22"/>
          <w:szCs w:val="22"/>
          <w:lang w:eastAsia="en-US"/>
        </w:rPr>
      </w:pPr>
    </w:p>
    <w:p w:rsidR="00452CA4" w:rsidP="00452CA4" w:rsidRDefault="00452CA4" w14:paraId="4C2C3831" w14:textId="77777777">
      <w:pPr>
        <w:rPr>
          <w:sz w:val="22"/>
          <w:szCs w:val="22"/>
          <w:lang w:eastAsia="en-US"/>
        </w:rPr>
      </w:pPr>
    </w:p>
    <w:p w:rsidRPr="005E102E" w:rsidR="00984476" w:rsidP="00452CA4" w:rsidRDefault="00984476" w14:paraId="5609A947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79" w:id="19"/>
      <w:r w:rsidRPr="005E102E">
        <w:rPr>
          <w:b/>
          <w:sz w:val="22"/>
          <w:szCs w:val="22"/>
        </w:rPr>
        <w:t>Čl. VIII.</w:t>
      </w:r>
      <w:bookmarkEnd w:id="19"/>
    </w:p>
    <w:p w:rsidRPr="005E102E" w:rsidR="00984476" w:rsidP="00452CA4" w:rsidRDefault="00984476" w14:paraId="3FCE3D4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0" w:id="20"/>
      <w:r w:rsidRPr="005E102E">
        <w:rPr>
          <w:b/>
          <w:sz w:val="22"/>
          <w:szCs w:val="22"/>
        </w:rPr>
        <w:t>Zrušení dotačního programu</w:t>
      </w:r>
      <w:bookmarkEnd w:id="20"/>
    </w:p>
    <w:p w:rsidRPr="00246189" w:rsidR="00984476" w:rsidP="00452CA4" w:rsidRDefault="00984476" w14:paraId="09FAFF93" w14:textId="69F66A90">
      <w:pPr>
        <w:pStyle w:val="Odstavecseseznamem"/>
        <w:numPr>
          <w:ilvl w:val="0"/>
          <w:numId w:val="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Při zrušení dotačního programu se postupuje obdobným způsobem popsaným </w:t>
      </w:r>
      <w:r w:rsidRPr="00806E9C">
        <w:rPr>
          <w:rFonts w:ascii="Times New Roman" w:hAnsi="Times New Roman" w:eastAsia="Times New Roman"/>
          <w:b w:val="0"/>
        </w:rPr>
        <w:t>v</w:t>
      </w:r>
      <w:r w:rsidR="0087667A">
        <w:rPr>
          <w:rFonts w:ascii="Times New Roman" w:hAnsi="Times New Roman" w:eastAsia="Times New Roman"/>
          <w:b w:val="0"/>
        </w:rPr>
        <w:t> </w:t>
      </w:r>
      <w:r w:rsidRPr="00806E9C">
        <w:rPr>
          <w:rFonts w:ascii="Times New Roman" w:hAnsi="Times New Roman" w:eastAsia="Times New Roman"/>
          <w:b w:val="0"/>
        </w:rPr>
        <w:t xml:space="preserve">čl. VI. </w:t>
      </w:r>
      <w:r w:rsidR="002108ED">
        <w:rPr>
          <w:rFonts w:ascii="Times New Roman" w:hAnsi="Times New Roman" w:eastAsia="Times New Roman"/>
          <w:b w:val="0"/>
        </w:rPr>
        <w:t>s</w:t>
      </w:r>
      <w:r w:rsidR="0087667A">
        <w:rPr>
          <w:rFonts w:ascii="Times New Roman" w:hAnsi="Times New Roman" w:eastAsia="Times New Roman"/>
          <w:b w:val="0"/>
        </w:rPr>
        <w:t> </w:t>
      </w:r>
      <w:r w:rsidRPr="00806E9C">
        <w:rPr>
          <w:rFonts w:ascii="Times New Roman" w:hAnsi="Times New Roman" w:eastAsia="Times New Roman"/>
          <w:b w:val="0"/>
        </w:rPr>
        <w:t>tím</w:t>
      </w:r>
      <w:r w:rsidRPr="00246189">
        <w:rPr>
          <w:rFonts w:ascii="Times New Roman" w:hAnsi="Times New Roman" w:eastAsia="Times New Roman"/>
          <w:b w:val="0"/>
        </w:rPr>
        <w:t>, že</w:t>
      </w:r>
      <w:r w:rsidR="000277EA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>příslušný odbor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jednoznačně uvede důvod zrušení dotačního programu.</w:t>
      </w:r>
    </w:p>
    <w:p w:rsidRPr="00246189" w:rsidR="00984476" w:rsidP="00452CA4" w:rsidRDefault="22D2A8F7" w14:paraId="7720AA0A" w14:textId="2CB28419">
      <w:pPr>
        <w:pStyle w:val="Odstavecseseznamem"/>
        <w:numPr>
          <w:ilvl w:val="0"/>
          <w:numId w:val="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 xml:space="preserve">Centrální administrátor dále zajistí, aby návrh usnesení pro jednání příslušných orgánů obsahoval </w:t>
      </w:r>
      <w:r w:rsidRPr="22D2A8F7">
        <w:rPr>
          <w:rFonts w:ascii="Times New Roman" w:hAnsi="Times New Roman"/>
          <w:b w:val="0"/>
        </w:rPr>
        <w:t>případnou rozpočtovou změnu nerealizované rozpočtové položky.</w:t>
      </w:r>
    </w:p>
    <w:p w:rsidR="004F0239" w:rsidP="00452CA4" w:rsidRDefault="004F0239" w14:paraId="56A798A4" w14:textId="400DCD0D">
      <w:bookmarkStart w:name="_Toc526920581" w:id="21"/>
    </w:p>
    <w:p w:rsidRPr="004F0239" w:rsidR="00452CA4" w:rsidP="00452CA4" w:rsidRDefault="00452CA4" w14:paraId="6C8046FC" w14:textId="77777777"/>
    <w:p w:rsidRPr="005E102E" w:rsidR="00984476" w:rsidP="00452CA4" w:rsidRDefault="00984476" w14:paraId="6551660B" w14:textId="111EBE1F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IX.</w:t>
      </w:r>
      <w:bookmarkEnd w:id="21"/>
    </w:p>
    <w:p w:rsidRPr="005E102E" w:rsidR="00984476" w:rsidP="00452CA4" w:rsidRDefault="00984476" w14:paraId="5DF3A3B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2" w:id="22"/>
      <w:r w:rsidRPr="005E102E">
        <w:rPr>
          <w:b/>
          <w:sz w:val="22"/>
          <w:szCs w:val="22"/>
        </w:rPr>
        <w:t>Vyhlášení dotačního programu</w:t>
      </w:r>
      <w:bookmarkEnd w:id="22"/>
    </w:p>
    <w:p w:rsidRPr="00246189" w:rsidR="00984476" w:rsidP="00452CA4" w:rsidRDefault="00984476" w14:paraId="60B3E6B3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Vyhlášení dotačního programu schvaluje </w:t>
      </w:r>
      <w:r w:rsidR="00D163EA">
        <w:rPr>
          <w:rFonts w:ascii="Times New Roman" w:hAnsi="Times New Roman"/>
          <w:b w:val="0"/>
        </w:rPr>
        <w:t>zastupitelstvo</w:t>
      </w:r>
      <w:r>
        <w:rPr>
          <w:rFonts w:ascii="Times New Roman" w:hAnsi="Times New Roman"/>
          <w:b w:val="0"/>
        </w:rPr>
        <w:t xml:space="preserve"> kraje</w:t>
      </w:r>
      <w:r w:rsidRPr="00246189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4C9B8D77" w14:textId="1EFAD772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Materiály pro jednání příslušných orgánů připravuje centrální administrátor </w:t>
      </w:r>
      <w:r>
        <w:rPr>
          <w:rFonts w:ascii="Times New Roman" w:hAnsi="Times New Roman"/>
          <w:b w:val="0"/>
        </w:rPr>
        <w:t>ve spolupráci s</w:t>
      </w:r>
      <w:r w:rsidR="0087667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příslušným odborem </w:t>
      </w:r>
      <w:r w:rsidRPr="00246189">
        <w:rPr>
          <w:rFonts w:ascii="Times New Roman" w:hAnsi="Times New Roman"/>
          <w:b w:val="0"/>
        </w:rPr>
        <w:t>a musí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nich být zcela jasně definované níže uvedené parametry:</w:t>
      </w:r>
    </w:p>
    <w:p w:rsidRPr="00246189" w:rsidR="00984476" w:rsidP="00452CA4" w:rsidRDefault="00984476" w14:paraId="2B009388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začátek editace elektronických žádostí, </w:t>
      </w:r>
      <w:r w:rsidRPr="002B0379">
        <w:rPr>
          <w:rFonts w:ascii="Times New Roman" w:hAnsi="Times New Roman"/>
          <w:b w:val="0"/>
        </w:rPr>
        <w:t>pokud je editace žadatelům povolena,</w:t>
      </w:r>
    </w:p>
    <w:p w:rsidRPr="00246189" w:rsidR="00984476" w:rsidP="00452CA4" w:rsidRDefault="00984476" w14:paraId="6FE4E28F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začátek příjmu elektronických žádostí,</w:t>
      </w:r>
    </w:p>
    <w:p w:rsidRPr="00246189" w:rsidR="00984476" w:rsidP="00452CA4" w:rsidRDefault="00984476" w14:paraId="3A261424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konec příjmu elektronických žádostí,</w:t>
      </w:r>
    </w:p>
    <w:p w:rsidRPr="00246189" w:rsidR="00984476" w:rsidP="00452CA4" w:rsidRDefault="00984476" w14:paraId="4376E24C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lhůt</w:t>
      </w:r>
      <w:r>
        <w:rPr>
          <w:rFonts w:ascii="Times New Roman" w:hAnsi="Times New Roman"/>
          <w:b w:val="0"/>
        </w:rPr>
        <w:t>a</w:t>
      </w:r>
      <w:r w:rsidRPr="00246189">
        <w:rPr>
          <w:rFonts w:ascii="Times New Roman" w:hAnsi="Times New Roman"/>
          <w:b w:val="0"/>
        </w:rPr>
        <w:t xml:space="preserve"> pro konec příjmu listinných žádostí, pokud je příjem listinných žádostí požadován,</w:t>
      </w:r>
    </w:p>
    <w:p w:rsidRPr="00246189" w:rsidR="00984476" w:rsidP="00452CA4" w:rsidRDefault="00984476" w14:paraId="6594A7F6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skutečnost, zda záleží nebo nezáleží na pořadí žádosti,</w:t>
      </w:r>
    </w:p>
    <w:p w:rsidRPr="00246189" w:rsidR="00984476" w:rsidP="00452CA4" w:rsidRDefault="00984476" w14:paraId="1F81EE77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kritéria, </w:t>
      </w:r>
      <w:r w:rsidR="001720DC">
        <w:rPr>
          <w:rFonts w:ascii="Times New Roman" w:hAnsi="Times New Roman"/>
          <w:b w:val="0"/>
        </w:rPr>
        <w:t>podle</w:t>
      </w:r>
      <w:r w:rsidRPr="00246189">
        <w:rPr>
          <w:rFonts w:ascii="Times New Roman" w:hAnsi="Times New Roman"/>
          <w:b w:val="0"/>
        </w:rPr>
        <w:t xml:space="preserve"> kterých bude </w:t>
      </w:r>
      <w:r>
        <w:rPr>
          <w:rFonts w:ascii="Times New Roman" w:hAnsi="Times New Roman"/>
          <w:b w:val="0"/>
        </w:rPr>
        <w:t>žádost hodnocena</w:t>
      </w:r>
      <w:r w:rsidRPr="00246189">
        <w:rPr>
          <w:rFonts w:ascii="Times New Roman" w:hAnsi="Times New Roman"/>
          <w:b w:val="0"/>
        </w:rPr>
        <w:t>,</w:t>
      </w:r>
    </w:p>
    <w:p w:rsidRPr="00246189" w:rsidR="00984476" w:rsidP="00452CA4" w:rsidRDefault="00984476" w14:paraId="5949BDF4" w14:textId="4D477489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postup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případech, kdy dojde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převisu žádostí, </w:t>
      </w:r>
      <w:r>
        <w:rPr>
          <w:rFonts w:ascii="Times New Roman" w:hAnsi="Times New Roman"/>
          <w:b w:val="0"/>
        </w:rPr>
        <w:t>např</w:t>
      </w:r>
      <w:r w:rsidRPr="00246189">
        <w:rPr>
          <w:rFonts w:ascii="Times New Roman" w:hAnsi="Times New Roman"/>
          <w:b w:val="0"/>
        </w:rPr>
        <w:t xml:space="preserve">. určení </w:t>
      </w:r>
      <w:r>
        <w:rPr>
          <w:rFonts w:ascii="Times New Roman" w:hAnsi="Times New Roman"/>
          <w:b w:val="0"/>
        </w:rPr>
        <w:t>pořadí</w:t>
      </w:r>
      <w:r w:rsidRPr="0024618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dalších </w:t>
      </w:r>
      <w:r w:rsidRPr="00246189">
        <w:rPr>
          <w:rFonts w:ascii="Times New Roman" w:hAnsi="Times New Roman"/>
          <w:b w:val="0"/>
        </w:rPr>
        <w:t>žádostí</w:t>
      </w:r>
      <w:r>
        <w:rPr>
          <w:rFonts w:ascii="Times New Roman" w:hAnsi="Times New Roman"/>
          <w:b w:val="0"/>
        </w:rPr>
        <w:t xml:space="preserve"> (zásobník</w:t>
      </w:r>
      <w:r w:rsidR="00F13DF5">
        <w:rPr>
          <w:rFonts w:ascii="Times New Roman" w:hAnsi="Times New Roman"/>
          <w:b w:val="0"/>
        </w:rPr>
        <w:t xml:space="preserve"> náhradních žádostí</w:t>
      </w:r>
      <w:r>
        <w:rPr>
          <w:rFonts w:ascii="Times New Roman" w:hAnsi="Times New Roman"/>
          <w:b w:val="0"/>
        </w:rPr>
        <w:t xml:space="preserve">) nebo </w:t>
      </w:r>
      <w:r w:rsidR="00F13DF5">
        <w:rPr>
          <w:rFonts w:ascii="Times New Roman" w:hAnsi="Times New Roman"/>
          <w:b w:val="0"/>
        </w:rPr>
        <w:t xml:space="preserve">způsob </w:t>
      </w:r>
      <w:r>
        <w:rPr>
          <w:rFonts w:ascii="Times New Roman" w:hAnsi="Times New Roman"/>
          <w:b w:val="0"/>
        </w:rPr>
        <w:t>krácení požadované částky dotace</w:t>
      </w:r>
      <w:r w:rsidR="00320E7E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30DF1C96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Centrální administrátor dále zajistí, aby návrh usnesení pro jednání příslušných orgánů obsahoval:</w:t>
      </w:r>
    </w:p>
    <w:p w:rsidRPr="00246189" w:rsidR="00984476" w:rsidP="00452CA4" w:rsidRDefault="00984476" w14:paraId="5017246E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schválení vyhlášení dotačního programu,</w:t>
      </w:r>
    </w:p>
    <w:p w:rsidRPr="00246189" w:rsidR="00984476" w:rsidP="00452CA4" w:rsidRDefault="00984476" w14:paraId="3325B6BB" w14:textId="7F0F5CE2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schválení vyhlášení dotačního programu pro 2. a další kolo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případech, kdy nedojde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vyčerpání alokace dotačního programu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1. kole</w:t>
      </w:r>
      <w:r w:rsidR="00320E7E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59BE13BA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Součástí materiálu pro jednání příslušných orgánů </w:t>
      </w:r>
      <w:r w:rsidR="00846A22">
        <w:rPr>
          <w:rFonts w:ascii="Times New Roman" w:hAnsi="Times New Roman"/>
          <w:b w:val="0"/>
        </w:rPr>
        <w:t>jsou</w:t>
      </w:r>
      <w:r w:rsidRPr="00246189">
        <w:rPr>
          <w:rFonts w:ascii="Times New Roman" w:hAnsi="Times New Roman"/>
          <w:b w:val="0"/>
        </w:rPr>
        <w:t xml:space="preserve"> přílohy</w:t>
      </w:r>
      <w:r w:rsidR="00740F70">
        <w:rPr>
          <w:rFonts w:ascii="Times New Roman" w:hAnsi="Times New Roman"/>
          <w:b w:val="0"/>
        </w:rPr>
        <w:t xml:space="preserve"> (dle </w:t>
      </w:r>
      <w:r w:rsidR="00846A22">
        <w:rPr>
          <w:rFonts w:ascii="Times New Roman" w:hAnsi="Times New Roman"/>
          <w:b w:val="0"/>
        </w:rPr>
        <w:t>specifikace</w:t>
      </w:r>
      <w:r w:rsidR="00740F70">
        <w:rPr>
          <w:rFonts w:ascii="Times New Roman" w:hAnsi="Times New Roman"/>
          <w:b w:val="0"/>
        </w:rPr>
        <w:t xml:space="preserve"> </w:t>
      </w:r>
      <w:r w:rsidR="006E1EB5">
        <w:rPr>
          <w:rFonts w:ascii="Times New Roman" w:hAnsi="Times New Roman"/>
          <w:b w:val="0"/>
        </w:rPr>
        <w:t xml:space="preserve">dotačního </w:t>
      </w:r>
      <w:r w:rsidR="00740F70">
        <w:rPr>
          <w:rFonts w:ascii="Times New Roman" w:hAnsi="Times New Roman"/>
          <w:b w:val="0"/>
        </w:rPr>
        <w:t>programu)</w:t>
      </w:r>
      <w:r w:rsidRPr="00246189">
        <w:rPr>
          <w:rFonts w:ascii="Times New Roman" w:hAnsi="Times New Roman"/>
          <w:b w:val="0"/>
        </w:rPr>
        <w:t>:</w:t>
      </w:r>
    </w:p>
    <w:p w:rsidRPr="00246189" w:rsidR="00984476" w:rsidP="00452CA4" w:rsidRDefault="006E1EB5" w14:paraId="1D49F83A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navrhovaný</w:t>
      </w:r>
      <w:r w:rsidRPr="00246189">
        <w:rPr>
          <w:rFonts w:ascii="Times New Roman" w:hAnsi="Times New Roman"/>
          <w:b w:val="0"/>
        </w:rPr>
        <w:t xml:space="preserve"> </w:t>
      </w:r>
      <w:r w:rsidRPr="00246189" w:rsidR="00984476">
        <w:rPr>
          <w:rFonts w:ascii="Times New Roman" w:hAnsi="Times New Roman"/>
          <w:b w:val="0"/>
        </w:rPr>
        <w:t>dotační program,</w:t>
      </w:r>
    </w:p>
    <w:p w:rsidRPr="00246189" w:rsidR="00984476" w:rsidP="00452CA4" w:rsidRDefault="00984476" w14:paraId="0799B5B2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vzor žádosti o poskytnutí dotace (příloha </w:t>
      </w:r>
      <w:r w:rsidR="00157503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,</w:t>
      </w:r>
      <w:r w:rsidR="00846A22">
        <w:rPr>
          <w:rFonts w:ascii="Times New Roman" w:hAnsi="Times New Roman"/>
          <w:b w:val="0"/>
        </w:rPr>
        <w:t xml:space="preserve"> případně obsah jej</w:t>
      </w:r>
      <w:r w:rsidR="00696E58">
        <w:rPr>
          <w:rFonts w:ascii="Times New Roman" w:hAnsi="Times New Roman"/>
          <w:b w:val="0"/>
        </w:rPr>
        <w:t>í</w:t>
      </w:r>
      <w:r w:rsidR="00846A22">
        <w:rPr>
          <w:rFonts w:ascii="Times New Roman" w:hAnsi="Times New Roman"/>
          <w:b w:val="0"/>
        </w:rPr>
        <w:t>ch příloh</w:t>
      </w:r>
      <w:r w:rsidR="00712246">
        <w:rPr>
          <w:rFonts w:ascii="Times New Roman" w:hAnsi="Times New Roman"/>
          <w:b w:val="0"/>
        </w:rPr>
        <w:t>)</w:t>
      </w:r>
      <w:r w:rsidR="00320E7E">
        <w:rPr>
          <w:rFonts w:ascii="Times New Roman" w:hAnsi="Times New Roman"/>
          <w:b w:val="0"/>
        </w:rPr>
        <w:t>.</w:t>
      </w:r>
    </w:p>
    <w:p w:rsidR="001010C9" w:rsidP="00452CA4" w:rsidRDefault="22D2A8F7" w14:paraId="36D58EC2" w14:textId="5B6A3DC6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Centrální administrátor zveřejní dotační program na úřední desce poskytovatele bez zbytečného odkladu po jeho schválení příslušným orgánem kraje.</w:t>
      </w:r>
    </w:p>
    <w:p w:rsidRPr="00246189" w:rsidR="00984476" w:rsidP="00452CA4" w:rsidRDefault="00013351" w14:paraId="335722AD" w14:textId="77777777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 xml:space="preserve">Centrální administrátor zodpovídá </w:t>
      </w:r>
      <w:r w:rsidR="00B23548">
        <w:rPr>
          <w:rFonts w:ascii="Times New Roman" w:hAnsi="Times New Roman" w:eastAsia="Times New Roman"/>
          <w:b w:val="0"/>
        </w:rPr>
        <w:t>za to, že vzor žádosti o poskytnutí dotace obsahuje povinné náležitosti žádosti</w:t>
      </w:r>
      <w:r w:rsidR="00F52C03">
        <w:rPr>
          <w:rFonts w:ascii="Times New Roman" w:hAnsi="Times New Roman" w:eastAsia="Times New Roman"/>
          <w:b w:val="0"/>
        </w:rPr>
        <w:t xml:space="preserve"> stanovené zákonem</w:t>
      </w:r>
      <w:r w:rsidR="004661D6">
        <w:rPr>
          <w:rStyle w:val="Znakapoznpodarou"/>
          <w:rFonts w:ascii="Times New Roman" w:hAnsi="Times New Roman" w:eastAsia="Times New Roman"/>
          <w:b w:val="0"/>
        </w:rPr>
        <w:footnoteReference w:id="5"/>
      </w:r>
      <w:r w:rsidR="00F52C03">
        <w:rPr>
          <w:rFonts w:ascii="Times New Roman" w:hAnsi="Times New Roman" w:eastAsia="Times New Roman"/>
          <w:b w:val="0"/>
        </w:rPr>
        <w:t>.</w:t>
      </w:r>
    </w:p>
    <w:p w:rsidRPr="00246189" w:rsidR="00984476" w:rsidP="00452CA4" w:rsidRDefault="0087667A" w14:paraId="285847FE" w14:textId="0B6B47D6">
      <w:pPr>
        <w:pStyle w:val="Odstavecseseznamem"/>
        <w:numPr>
          <w:ilvl w:val="0"/>
          <w:numId w:val="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 </w:t>
      </w:r>
      <w:r w:rsidR="005A2F4A">
        <w:rPr>
          <w:rFonts w:ascii="Times New Roman" w:hAnsi="Times New Roman" w:eastAsia="Times New Roman"/>
          <w:b w:val="0"/>
        </w:rPr>
        <w:t>Ke vzoru</w:t>
      </w:r>
      <w:r w:rsidRPr="00246189" w:rsidR="005A2F4A">
        <w:rPr>
          <w:rFonts w:ascii="Times New Roman" w:hAnsi="Times New Roman" w:eastAsia="Times New Roman"/>
          <w:b w:val="0"/>
        </w:rPr>
        <w:t> </w:t>
      </w:r>
      <w:r w:rsidRPr="00246189" w:rsidR="00984476">
        <w:rPr>
          <w:rFonts w:ascii="Times New Roman" w:hAnsi="Times New Roman" w:eastAsia="Times New Roman"/>
          <w:b w:val="0"/>
        </w:rPr>
        <w:t>žádosti budou</w:t>
      </w:r>
      <w:r w:rsidR="00D1184F">
        <w:rPr>
          <w:rFonts w:ascii="Times New Roman" w:hAnsi="Times New Roman" w:eastAsia="Times New Roman"/>
          <w:b w:val="0"/>
        </w:rPr>
        <w:t xml:space="preserve"> formou přílohy</w:t>
      </w:r>
      <w:r w:rsidRPr="00246189" w:rsidR="00984476">
        <w:rPr>
          <w:rFonts w:ascii="Times New Roman" w:hAnsi="Times New Roman" w:eastAsia="Times New Roman"/>
          <w:b w:val="0"/>
        </w:rPr>
        <w:t xml:space="preserve"> připojeny tyto náležitosti:</w:t>
      </w:r>
    </w:p>
    <w:p w:rsidRPr="00246189" w:rsidR="00984476" w:rsidP="004F0239" w:rsidRDefault="005A2F4A" w14:paraId="0C10DC8C" w14:textId="77777777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vzor smlouvy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 w:rsidRPr="00246189" w:rsidR="00984476">
        <w:rPr>
          <w:rFonts w:ascii="Times New Roman" w:hAnsi="Times New Roman" w:eastAsia="Times New Roman"/>
          <w:b w:val="0"/>
        </w:rPr>
        <w:t>o zřízení běžného účtu žadatele (běžný účet, na který bude dotace poukázána nebo</w:t>
      </w:r>
      <w:r w:rsidR="000277EA">
        <w:rPr>
          <w:rFonts w:ascii="Times New Roman" w:hAnsi="Times New Roman" w:eastAsia="Times New Roman"/>
          <w:b w:val="0"/>
        </w:rPr>
        <w:t> </w:t>
      </w:r>
      <w:r w:rsidRPr="00246189" w:rsidR="00984476">
        <w:rPr>
          <w:rFonts w:ascii="Times New Roman" w:hAnsi="Times New Roman" w:eastAsia="Times New Roman"/>
          <w:b w:val="0"/>
        </w:rPr>
        <w:t>potvrzení peněžního ústavu o existenci účtu, na který má být dotace poukázána),</w:t>
      </w:r>
    </w:p>
    <w:p w:rsidRPr="00246189" w:rsidR="00984476" w:rsidP="004F0239" w:rsidRDefault="005A2F4A" w14:paraId="66A2E160" w14:textId="583153F0">
      <w:pPr>
        <w:pStyle w:val="Odstavecseseznamem"/>
        <w:numPr>
          <w:ilvl w:val="1"/>
          <w:numId w:val="7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lastRenderedPageBreak/>
        <w:t>vzory dalších povinných příloh</w:t>
      </w:r>
      <w:r w:rsidRPr="00246189" w:rsidR="00984476">
        <w:rPr>
          <w:rFonts w:ascii="Times New Roman" w:hAnsi="Times New Roman" w:eastAsia="Times New Roman"/>
          <w:b w:val="0"/>
        </w:rPr>
        <w:t xml:space="preserve"> dle obsahu programu.</w:t>
      </w:r>
      <w:r w:rsidRPr="007C6683" w:rsidR="007C6683">
        <w:rPr>
          <w:rFonts w:ascii="Times New Roman" w:hAnsi="Times New Roman" w:eastAsia="Times New Roman"/>
          <w:b w:val="0"/>
        </w:rPr>
        <w:t xml:space="preserve"> </w:t>
      </w:r>
    </w:p>
    <w:p w:rsidR="004F0239" w:rsidP="00452CA4" w:rsidRDefault="004F0239" w14:paraId="61CDCEAD" w14:textId="27646DF1">
      <w:pPr>
        <w:rPr>
          <w:sz w:val="22"/>
          <w:szCs w:val="22"/>
        </w:rPr>
      </w:pPr>
      <w:bookmarkStart w:name="_Toc526920583" w:id="23"/>
    </w:p>
    <w:p w:rsidR="00452CA4" w:rsidP="00452CA4" w:rsidRDefault="00452CA4" w14:paraId="52DA897F" w14:textId="77777777">
      <w:pPr>
        <w:rPr>
          <w:sz w:val="22"/>
          <w:szCs w:val="22"/>
        </w:rPr>
      </w:pPr>
    </w:p>
    <w:p w:rsidR="00452CA4" w:rsidP="00452CA4" w:rsidRDefault="00452CA4" w14:paraId="7AE6DC19" w14:textId="77777777">
      <w:pPr>
        <w:rPr>
          <w:sz w:val="22"/>
          <w:szCs w:val="22"/>
        </w:rPr>
      </w:pPr>
    </w:p>
    <w:p w:rsidRPr="005E102E" w:rsidR="00984476" w:rsidP="00452CA4" w:rsidRDefault="00984476" w14:paraId="3910CB4C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5E102E">
        <w:rPr>
          <w:b/>
          <w:i/>
          <w:sz w:val="22"/>
          <w:szCs w:val="22"/>
        </w:rPr>
        <w:t>Část třetí</w:t>
      </w:r>
      <w:bookmarkEnd w:id="23"/>
    </w:p>
    <w:p w:rsidRPr="00830A40" w:rsidR="00984476" w:rsidP="00452CA4" w:rsidRDefault="00984476" w14:paraId="1CE0E1E0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84" w:id="24"/>
      <w:r w:rsidRPr="00830A40">
        <w:rPr>
          <w:b/>
          <w:caps/>
          <w:sz w:val="22"/>
          <w:szCs w:val="22"/>
        </w:rPr>
        <w:t>Příjem a administrace programových dotací</w:t>
      </w:r>
      <w:bookmarkEnd w:id="24"/>
    </w:p>
    <w:p w:rsidR="00452CA4" w:rsidP="00452CA4" w:rsidRDefault="00452CA4" w14:paraId="00837DD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5" w:id="25"/>
    </w:p>
    <w:p w:rsidRPr="005E102E" w:rsidR="00984476" w:rsidP="00452CA4" w:rsidRDefault="00984476" w14:paraId="16CB7714" w14:textId="0596AD50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X.</w:t>
      </w:r>
      <w:bookmarkEnd w:id="25"/>
    </w:p>
    <w:p w:rsidRPr="005E102E" w:rsidR="00984476" w:rsidP="00452CA4" w:rsidRDefault="00984476" w14:paraId="239AFE4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6" w:id="26"/>
      <w:r w:rsidRPr="005E102E">
        <w:rPr>
          <w:b/>
          <w:sz w:val="22"/>
          <w:szCs w:val="22"/>
        </w:rPr>
        <w:t>Příprava příjmu žádostí</w:t>
      </w:r>
      <w:bookmarkEnd w:id="26"/>
    </w:p>
    <w:p w:rsidRPr="00246189" w:rsidR="00984476" w:rsidP="00452CA4" w:rsidRDefault="00984476" w14:paraId="24707814" w14:textId="77777777">
      <w:pPr>
        <w:pStyle w:val="Odstavecseseznamem"/>
        <w:numPr>
          <w:ilvl w:val="0"/>
          <w:numId w:val="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Centrální administrátor zajistí:</w:t>
      </w:r>
    </w:p>
    <w:p w:rsidRPr="00246189" w:rsidR="00984476" w:rsidP="00452CA4" w:rsidRDefault="00984476" w14:paraId="647778F0" w14:textId="77777777">
      <w:pPr>
        <w:pStyle w:val="Odstavecseseznamem"/>
        <w:numPr>
          <w:ilvl w:val="1"/>
          <w:numId w:val="8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zadání informací o novém programu do</w:t>
      </w:r>
      <w:r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modulu VFP</w:t>
      </w:r>
      <w:r w:rsidR="00981DEB">
        <w:rPr>
          <w:rFonts w:ascii="Times New Roman" w:hAnsi="Times New Roman"/>
          <w:b w:val="0"/>
        </w:rPr>
        <w:t>,</w:t>
      </w:r>
    </w:p>
    <w:p w:rsidRPr="00246189" w:rsidR="00984476" w:rsidP="00452CA4" w:rsidRDefault="00984476" w14:paraId="7B04A4EF" w14:textId="77777777">
      <w:pPr>
        <w:pStyle w:val="Odstavecseseznamem"/>
        <w:numPr>
          <w:ilvl w:val="1"/>
          <w:numId w:val="8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přípravu elektronického formuláře žádosti do lhůty pro počátek editace </w:t>
      </w:r>
      <w:r>
        <w:rPr>
          <w:rFonts w:ascii="Times New Roman" w:hAnsi="Times New Roman"/>
          <w:b w:val="0"/>
        </w:rPr>
        <w:t xml:space="preserve">či příjem </w:t>
      </w:r>
      <w:r w:rsidRPr="00246189">
        <w:rPr>
          <w:rFonts w:ascii="Times New Roman" w:hAnsi="Times New Roman"/>
          <w:b w:val="0"/>
        </w:rPr>
        <w:t>elektronických žádostí,</w:t>
      </w:r>
    </w:p>
    <w:p w:rsidRPr="00246189" w:rsidR="00984476" w:rsidP="00452CA4" w:rsidRDefault="00984476" w14:paraId="16760985" w14:textId="709AE1C4">
      <w:pPr>
        <w:pStyle w:val="Odstavecseseznamem"/>
        <w:numPr>
          <w:ilvl w:val="1"/>
          <w:numId w:val="8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zadání údajů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dotčenému programu do modulu RAP s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lhůtami dle </w:t>
      </w:r>
      <w:r w:rsidRPr="00E3678B">
        <w:rPr>
          <w:rFonts w:ascii="Times New Roman" w:hAnsi="Times New Roman"/>
          <w:b w:val="0"/>
        </w:rPr>
        <w:t xml:space="preserve">čl. IX. </w:t>
      </w:r>
      <w:r w:rsidR="00163C01">
        <w:rPr>
          <w:rFonts w:ascii="Times New Roman" w:hAnsi="Times New Roman"/>
          <w:b w:val="0"/>
        </w:rPr>
        <w:t>o</w:t>
      </w:r>
      <w:r w:rsidRPr="00E3678B">
        <w:rPr>
          <w:rFonts w:ascii="Times New Roman" w:hAnsi="Times New Roman"/>
          <w:b w:val="0"/>
        </w:rPr>
        <w:t xml:space="preserve">dst. </w:t>
      </w:r>
      <w:r w:rsidR="00BE555E">
        <w:rPr>
          <w:rFonts w:ascii="Times New Roman" w:hAnsi="Times New Roman"/>
          <w:b w:val="0"/>
        </w:rPr>
        <w:t>2</w:t>
      </w:r>
      <w:r w:rsidRPr="00246189">
        <w:rPr>
          <w:rFonts w:ascii="Times New Roman" w:hAnsi="Times New Roman"/>
          <w:b w:val="0"/>
        </w:rPr>
        <w:t xml:space="preserve"> a zkontroluje</w:t>
      </w:r>
      <w:r>
        <w:rPr>
          <w:rFonts w:ascii="Times New Roman" w:hAnsi="Times New Roman"/>
          <w:b w:val="0"/>
        </w:rPr>
        <w:t xml:space="preserve"> nastavení modulu RAP tak, aby byla splněna podmínka uvedená v</w:t>
      </w:r>
      <w:r w:rsidR="0087667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čl. XII. </w:t>
      </w:r>
      <w:r w:rsidR="00163C01">
        <w:rPr>
          <w:rFonts w:ascii="Times New Roman" w:hAnsi="Times New Roman"/>
          <w:b w:val="0"/>
        </w:rPr>
        <w:t>o</w:t>
      </w:r>
      <w:r>
        <w:rPr>
          <w:rFonts w:ascii="Times New Roman" w:hAnsi="Times New Roman"/>
          <w:b w:val="0"/>
        </w:rPr>
        <w:t>dst. 1</w:t>
      </w:r>
      <w:r w:rsidRPr="00246189">
        <w:rPr>
          <w:rFonts w:ascii="Times New Roman" w:hAnsi="Times New Roman"/>
          <w:b w:val="0"/>
        </w:rPr>
        <w:t>.</w:t>
      </w:r>
    </w:p>
    <w:p w:rsidRPr="00246189" w:rsidR="00984476" w:rsidP="00452CA4" w:rsidRDefault="00984476" w14:paraId="2BC944DD" w14:textId="6BDC5877">
      <w:pPr>
        <w:pStyle w:val="Odstavecseseznamem"/>
        <w:numPr>
          <w:ilvl w:val="0"/>
          <w:numId w:val="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rámci přípravy příjmu žádostí uspořádá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podle předpokládaného počtu žadatelů informační seminář k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dotačnímu programu. Pokud je to vhodné a účelné, lze uspořádat jeden informační seminář i pro více dotačních programů najednou.</w:t>
      </w:r>
    </w:p>
    <w:p w:rsidR="005E102E" w:rsidP="00452CA4" w:rsidRDefault="005E102E" w14:paraId="6BB9E253" w14:textId="2340CD2B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587" w:id="27"/>
    </w:p>
    <w:p w:rsidRPr="00452CA4" w:rsidR="00452CA4" w:rsidP="00452CA4" w:rsidRDefault="00452CA4" w14:paraId="080BBD92" w14:textId="77777777">
      <w:pPr>
        <w:rPr>
          <w:sz w:val="22"/>
          <w:szCs w:val="22"/>
        </w:rPr>
      </w:pPr>
    </w:p>
    <w:p w:rsidRPr="005E102E" w:rsidR="00984476" w:rsidP="00452CA4" w:rsidRDefault="00984476" w14:paraId="25A978DC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XI.</w:t>
      </w:r>
      <w:bookmarkEnd w:id="27"/>
    </w:p>
    <w:p w:rsidRPr="005E102E" w:rsidR="00984476" w:rsidP="00452CA4" w:rsidRDefault="00984476" w14:paraId="1FADF66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88" w:id="28"/>
      <w:r w:rsidRPr="005E102E">
        <w:rPr>
          <w:b/>
          <w:sz w:val="22"/>
          <w:szCs w:val="22"/>
        </w:rPr>
        <w:t>Registrace žadatelů</w:t>
      </w:r>
      <w:bookmarkEnd w:id="28"/>
    </w:p>
    <w:p w:rsidRPr="00E32CDC" w:rsidR="00984476" w:rsidP="00452CA4" w:rsidRDefault="00984476" w14:paraId="64F0F638" w14:textId="3B38F372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Žadatel se zaregistruje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modulu RAP. Tento modul je žadateli dostupný prostřednictvím portálu kraje v</w:t>
      </w:r>
      <w:r w:rsidR="0087667A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sekci Dotace</w:t>
      </w:r>
      <w:r>
        <w:rPr>
          <w:rFonts w:ascii="Times New Roman" w:hAnsi="Times New Roman"/>
          <w:b w:val="0"/>
        </w:rPr>
        <w:t xml:space="preserve"> </w:t>
      </w:r>
      <w:hyperlink w:history="1" r:id="rId16">
        <w:r w:rsidRPr="00C52D91">
          <w:rPr>
            <w:rStyle w:val="Hypertextovodkaz"/>
            <w:rFonts w:ascii="Times New Roman" w:hAnsi="Times New Roman"/>
            <w:b w:val="0"/>
          </w:rPr>
          <w:t>https://dotace.kr-karlovarsky.cz/gordic/ginis/app/RAP05/</w:t>
        </w:r>
      </w:hyperlink>
      <w:r w:rsidRPr="00246189">
        <w:rPr>
          <w:rFonts w:ascii="Times New Roman" w:hAnsi="Times New Roman"/>
          <w:b w:val="0"/>
        </w:rPr>
        <w:t xml:space="preserve"> nebo</w:t>
      </w:r>
      <w:r>
        <w:rPr>
          <w:rFonts w:ascii="Times New Roman" w:hAnsi="Times New Roman"/>
          <w:b w:val="0"/>
        </w:rPr>
        <w:t xml:space="preserve"> </w:t>
      </w:r>
      <w:r w:rsidRPr="00E32CDC" w:rsidR="001B5F87">
        <w:rPr>
          <w:rFonts w:ascii="Times New Roman" w:hAnsi="Times New Roman"/>
          <w:b w:val="0"/>
        </w:rPr>
        <w:t>z</w:t>
      </w:r>
      <w:r w:rsidR="0087667A">
        <w:rPr>
          <w:rFonts w:ascii="Times New Roman" w:hAnsi="Times New Roman"/>
          <w:b w:val="0"/>
        </w:rPr>
        <w:t> </w:t>
      </w:r>
      <w:r w:rsidRPr="00E32CDC" w:rsidR="001B5F87">
        <w:rPr>
          <w:rFonts w:ascii="Times New Roman" w:hAnsi="Times New Roman"/>
          <w:b w:val="0"/>
        </w:rPr>
        <w:t>informačních</w:t>
      </w:r>
      <w:r w:rsidRPr="00E32CDC">
        <w:rPr>
          <w:rFonts w:ascii="Times New Roman" w:hAnsi="Times New Roman"/>
          <w:b w:val="0"/>
        </w:rPr>
        <w:t xml:space="preserve"> webů zřízených pro dotace. Na informačních webech </w:t>
      </w:r>
      <w:r>
        <w:rPr>
          <w:rFonts w:ascii="Times New Roman" w:hAnsi="Times New Roman"/>
          <w:b w:val="0"/>
        </w:rPr>
        <w:t xml:space="preserve">centrální </w:t>
      </w:r>
      <w:r w:rsidRPr="00E32CDC">
        <w:rPr>
          <w:rFonts w:ascii="Times New Roman" w:hAnsi="Times New Roman"/>
          <w:b w:val="0"/>
        </w:rPr>
        <w:t>administrátor zveřejní také postup registrace žadatelů a podání elektronické a listinné žádosti.</w:t>
      </w:r>
    </w:p>
    <w:p w:rsidR="005E102E" w:rsidP="00452CA4" w:rsidRDefault="005E102E" w14:paraId="23DE523C" w14:textId="284581B5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589" w:id="29"/>
    </w:p>
    <w:p w:rsidRPr="00452CA4" w:rsidR="00452CA4" w:rsidP="00452CA4" w:rsidRDefault="00452CA4" w14:paraId="0D8DC7FC" w14:textId="77777777">
      <w:pPr>
        <w:rPr>
          <w:sz w:val="22"/>
          <w:szCs w:val="22"/>
        </w:rPr>
      </w:pPr>
    </w:p>
    <w:p w:rsidRPr="005E102E" w:rsidR="00984476" w:rsidP="00452CA4" w:rsidRDefault="00984476" w14:paraId="3883E3B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XII.</w:t>
      </w:r>
      <w:bookmarkEnd w:id="29"/>
    </w:p>
    <w:p w:rsidRPr="005E102E" w:rsidR="00984476" w:rsidP="00452CA4" w:rsidRDefault="00984476" w14:paraId="54F3C2A4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0" w:id="30"/>
      <w:r w:rsidRPr="005E102E">
        <w:rPr>
          <w:b/>
          <w:sz w:val="22"/>
          <w:szCs w:val="22"/>
        </w:rPr>
        <w:t>Příjem a podání žádostí</w:t>
      </w:r>
      <w:bookmarkEnd w:id="30"/>
    </w:p>
    <w:p w:rsidRPr="00246189" w:rsidR="00984476" w:rsidP="00452CA4" w:rsidRDefault="00984476" w14:paraId="76751D1C" w14:textId="73605218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C14F6">
        <w:rPr>
          <w:rFonts w:ascii="Times New Roman" w:hAnsi="Times New Roman"/>
          <w:b w:val="0"/>
        </w:rPr>
        <w:t>Žádosti se přijímají elektronicky prostřednictvím modulu RAP ve lhůtách schválených ve vyhlášení dotačního programu. Modul RAP automaticky zaji</w:t>
      </w:r>
      <w:r>
        <w:rPr>
          <w:rFonts w:ascii="Times New Roman" w:hAnsi="Times New Roman"/>
          <w:b w:val="0"/>
        </w:rPr>
        <w:t>šťuje</w:t>
      </w:r>
      <w:r w:rsidRPr="00EC14F6">
        <w:rPr>
          <w:rFonts w:ascii="Times New Roman" w:hAnsi="Times New Roman"/>
          <w:b w:val="0"/>
        </w:rPr>
        <w:t xml:space="preserve">, že žádost je možné odeslat pouze ve lhůtě stanovené pro příjem žádostí. Doba pro příjem elektronických žádostí </w:t>
      </w:r>
      <w:r>
        <w:rPr>
          <w:rFonts w:ascii="Times New Roman" w:hAnsi="Times New Roman"/>
          <w:b w:val="0"/>
        </w:rPr>
        <w:t xml:space="preserve">je uvedena ve vyhlášení </w:t>
      </w:r>
      <w:r w:rsidR="0087667A">
        <w:rPr>
          <w:rFonts w:ascii="Times New Roman" w:hAnsi="Times New Roman"/>
          <w:b w:val="0"/>
        </w:rPr>
        <w:t xml:space="preserve">dotačního </w:t>
      </w:r>
      <w:r>
        <w:rPr>
          <w:rFonts w:ascii="Times New Roman" w:hAnsi="Times New Roman"/>
          <w:b w:val="0"/>
        </w:rPr>
        <w:t>programu</w:t>
      </w:r>
      <w:r w:rsidRPr="00246189">
        <w:rPr>
          <w:rFonts w:ascii="Times New Roman" w:hAnsi="Times New Roman"/>
          <w:b w:val="0"/>
        </w:rPr>
        <w:t>.</w:t>
      </w:r>
    </w:p>
    <w:p w:rsidRPr="00E7563A" w:rsidR="00984476" w:rsidP="00452CA4" w:rsidRDefault="00984476" w14:paraId="76BA962F" w14:textId="77777777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7563A">
        <w:rPr>
          <w:rFonts w:ascii="Times New Roman" w:hAnsi="Times New Roman"/>
          <w:b w:val="0"/>
        </w:rPr>
        <w:t>Žadatelé mohou žádost vytvořit a editovat před lhůtou stanovenou pro zahájení příjmu žádostí. V uvedené době modul RAP umožní žadateli žádost pouze uložit, nikoliv však odeslat.</w:t>
      </w:r>
    </w:p>
    <w:p w:rsidRPr="005A2F4A" w:rsidR="00984476" w:rsidP="00452CA4" w:rsidRDefault="004661D6" w14:paraId="381A09EC" w14:textId="58ECA454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Žadatelé, kteří se do modulu RAP přihlásí prostřednictvím funkcionality Identita občana nebo prostřednictvím informačního systému datových schránek mohou, ale nemusí připojit elektronický podpis. V takovém případě je uznávána tzv. fikce podpisu. V ostatních případech musí žadatel žádost vytisknout, opatřit podpisem a doručit na adresu poskytovatele dotace. Instrukce žadatel vždy obdrží po odeslání žádosti v tzv. </w:t>
      </w:r>
      <w:proofErr w:type="spellStart"/>
      <w:r>
        <w:rPr>
          <w:rFonts w:ascii="Times New Roman" w:hAnsi="Times New Roman"/>
          <w:b w:val="0"/>
        </w:rPr>
        <w:t>avizační</w:t>
      </w:r>
      <w:proofErr w:type="spellEnd"/>
      <w:r>
        <w:rPr>
          <w:rFonts w:ascii="Times New Roman" w:hAnsi="Times New Roman"/>
          <w:b w:val="0"/>
        </w:rPr>
        <w:t xml:space="preserve"> zprávě</w:t>
      </w:r>
      <w:r w:rsidR="005A2F4A">
        <w:rPr>
          <w:rFonts w:ascii="Times New Roman" w:hAnsi="Times New Roman"/>
          <w:b w:val="0"/>
        </w:rPr>
        <w:t>.</w:t>
      </w:r>
    </w:p>
    <w:p w:rsidRPr="00E7563A" w:rsidR="00984476" w:rsidP="00452CA4" w:rsidRDefault="00984476" w14:paraId="25173D73" w14:textId="77777777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  <w:bCs/>
        </w:rPr>
      </w:pPr>
      <w:r w:rsidRPr="00E7563A">
        <w:rPr>
          <w:rFonts w:ascii="Times New Roman" w:hAnsi="Times New Roman" w:eastAsia="Times New Roman"/>
          <w:b w:val="0"/>
        </w:rPr>
        <w:t xml:space="preserve">Ve výjimečných a odůvodněných případech (např. nefunkčnost modulů GINIS) povolí centrální administrátor příjem pouze listinných žádostí – viz příloha </w:t>
      </w:r>
      <w:r w:rsidRPr="00E7563A" w:rsidR="00157503">
        <w:rPr>
          <w:rFonts w:ascii="Times New Roman" w:hAnsi="Times New Roman" w:eastAsia="Times New Roman"/>
          <w:b w:val="0"/>
        </w:rPr>
        <w:t>2</w:t>
      </w:r>
      <w:r w:rsidRPr="00E7563A">
        <w:rPr>
          <w:rFonts w:ascii="Times New Roman" w:hAnsi="Times New Roman" w:eastAsia="Times New Roman"/>
          <w:b w:val="0"/>
        </w:rPr>
        <w:t>. V tomto případě centrální administrátor vhodným způsobem zajistí informování žadatelů.</w:t>
      </w:r>
    </w:p>
    <w:p w:rsidR="000726C1" w:rsidP="00452CA4" w:rsidRDefault="000726C1" w14:paraId="0B833282" w14:textId="6E90539D">
      <w:pPr>
        <w:pStyle w:val="Odstavecseseznamem"/>
        <w:numPr>
          <w:ilvl w:val="0"/>
          <w:numId w:val="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bookmarkStart w:name="_Toc526920591" w:id="31"/>
      <w:r w:rsidRPr="00E32CDC">
        <w:rPr>
          <w:rFonts w:ascii="Times New Roman" w:hAnsi="Times New Roman" w:eastAsia="Times New Roman"/>
          <w:b w:val="0"/>
        </w:rPr>
        <w:t>Poskytovatel nehradí žadatelům náklady spojené s vypracováním a předložením žádosti.</w:t>
      </w:r>
    </w:p>
    <w:p w:rsidRPr="00E32CDC" w:rsidR="002225D7" w:rsidP="002225D7" w:rsidRDefault="002225D7" w14:paraId="31E497AF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="005E102E" w:rsidP="00452CA4" w:rsidRDefault="005E102E" w14:paraId="52E56223" w14:textId="7E298880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="1BCDF371" w:rsidRDefault="1BCDF371" w14:paraId="0E3BA5DE" w14:textId="2CB5991A">
      <w:pPr>
        <w:rPr/>
      </w:pPr>
      <w:r>
        <w:br w:type="page"/>
      </w:r>
    </w:p>
    <w:p w:rsidRPr="005E102E" w:rsidR="00984476" w:rsidP="00452CA4" w:rsidRDefault="00984476" w14:paraId="5E7DC8E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lastRenderedPageBreak/>
        <w:t>Čl. XIII.</w:t>
      </w:r>
      <w:bookmarkEnd w:id="31"/>
    </w:p>
    <w:p w:rsidRPr="005E102E" w:rsidR="00984476" w:rsidP="00452CA4" w:rsidRDefault="00984476" w14:paraId="52A69AA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2" w:id="32"/>
      <w:r w:rsidRPr="005E102E">
        <w:rPr>
          <w:b/>
          <w:sz w:val="22"/>
          <w:szCs w:val="22"/>
        </w:rPr>
        <w:t>Formální kontrola žádostí</w:t>
      </w:r>
      <w:bookmarkEnd w:id="32"/>
    </w:p>
    <w:p w:rsidRPr="00E32CDC" w:rsidR="00984476" w:rsidP="00452CA4" w:rsidRDefault="00984476" w14:paraId="370556D1" w14:textId="77777777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246189">
        <w:rPr>
          <w:rFonts w:ascii="Times New Roman" w:hAnsi="Times New Roman"/>
          <w:b w:val="0"/>
        </w:rPr>
        <w:t>dministrátor porovná listinnou verzi žádosti s verzí elektronickou</w:t>
      </w:r>
      <w:r w:rsidR="003E623A">
        <w:rPr>
          <w:rFonts w:ascii="Times New Roman" w:hAnsi="Times New Roman"/>
          <w:b w:val="0"/>
        </w:rPr>
        <w:t>, pokud je příjem listinných žádostí požadován</w:t>
      </w:r>
      <w:r w:rsidRPr="00246189">
        <w:rPr>
          <w:rFonts w:ascii="Times New Roman" w:hAnsi="Times New Roman"/>
          <w:b w:val="0"/>
        </w:rPr>
        <w:t xml:space="preserve">. Obě verze žádostí musí obsahovat </w:t>
      </w:r>
      <w:r w:rsidR="00A97F31">
        <w:rPr>
          <w:rFonts w:ascii="Times New Roman" w:hAnsi="Times New Roman"/>
          <w:b w:val="0"/>
        </w:rPr>
        <w:t xml:space="preserve">totožný </w:t>
      </w:r>
      <w:r w:rsidRPr="00246189">
        <w:rPr>
          <w:rFonts w:ascii="Times New Roman" w:hAnsi="Times New Roman"/>
          <w:b w:val="0"/>
        </w:rPr>
        <w:t>čárový kód</w:t>
      </w:r>
      <w:r w:rsidRPr="009E6243" w:rsidR="009E6243">
        <w:rPr>
          <w:rFonts w:ascii="Times New Roman" w:hAnsi="Times New Roman"/>
          <w:b w:val="0"/>
        </w:rPr>
        <w:t xml:space="preserve"> </w:t>
      </w:r>
      <w:r w:rsidRPr="00246189" w:rsidR="009E6243">
        <w:rPr>
          <w:rFonts w:ascii="Times New Roman" w:hAnsi="Times New Roman"/>
          <w:b w:val="0"/>
        </w:rPr>
        <w:t>generovaný systémem</w:t>
      </w:r>
      <w:r w:rsidRPr="00246189">
        <w:rPr>
          <w:rFonts w:ascii="Times New Roman" w:hAnsi="Times New Roman"/>
          <w:b w:val="0"/>
        </w:rPr>
        <w:t xml:space="preserve">. V případě zjištění rozdílů mezi listinnou a elektronickou verzí nebo v případě, že žádost neobsahuje čárový kód,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</w:t>
      </w:r>
      <w:r w:rsidRPr="00E32CDC">
        <w:rPr>
          <w:rFonts w:ascii="Times New Roman" w:hAnsi="Times New Roman"/>
          <w:b w:val="0"/>
        </w:rPr>
        <w:t>bez</w:t>
      </w:r>
      <w:r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 xml:space="preserve">zbytečného odkladu </w:t>
      </w:r>
      <w:r>
        <w:rPr>
          <w:rFonts w:ascii="Times New Roman" w:hAnsi="Times New Roman"/>
          <w:b w:val="0"/>
        </w:rPr>
        <w:t>vyzve</w:t>
      </w:r>
      <w:r w:rsidRPr="00E32CDC">
        <w:rPr>
          <w:rFonts w:ascii="Times New Roman" w:hAnsi="Times New Roman"/>
          <w:b w:val="0"/>
        </w:rPr>
        <w:t xml:space="preserve"> žadatele, aby zajistil nápravu.</w:t>
      </w:r>
    </w:p>
    <w:p w:rsidRPr="00246189" w:rsidR="00984476" w:rsidP="00452CA4" w:rsidRDefault="00984476" w14:paraId="61456FAE" w14:textId="5D3DECD2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EC14F6">
        <w:rPr>
          <w:rFonts w:ascii="Times New Roman" w:hAnsi="Times New Roman"/>
          <w:b w:val="0"/>
        </w:rPr>
        <w:t xml:space="preserve">dministrátor na žádosti dále ověří správnost a úplnost údajů o žadateli, a to z veřejných zdrojů nebo z listin dodaných žadatelem. </w:t>
      </w:r>
      <w:r>
        <w:rPr>
          <w:rFonts w:ascii="Times New Roman" w:hAnsi="Times New Roman"/>
          <w:b w:val="0"/>
        </w:rPr>
        <w:t>Centrální a</w:t>
      </w:r>
      <w:r w:rsidRPr="00EC14F6">
        <w:rPr>
          <w:rFonts w:ascii="Times New Roman" w:hAnsi="Times New Roman"/>
          <w:b w:val="0"/>
        </w:rPr>
        <w:t>dministrátor dále ověří, zda žadatel podal žádost do správného dotačního programu</w:t>
      </w:r>
      <w:r>
        <w:rPr>
          <w:rFonts w:ascii="Times New Roman" w:hAnsi="Times New Roman"/>
          <w:b w:val="0"/>
        </w:rPr>
        <w:t>,</w:t>
      </w:r>
      <w:r w:rsidRPr="00EC14F6">
        <w:rPr>
          <w:rFonts w:ascii="Times New Roman" w:hAnsi="Times New Roman"/>
          <w:b w:val="0"/>
        </w:rPr>
        <w:t xml:space="preserve"> a </w:t>
      </w:r>
      <w:r>
        <w:rPr>
          <w:rFonts w:ascii="Times New Roman" w:hAnsi="Times New Roman"/>
          <w:b w:val="0"/>
        </w:rPr>
        <w:t xml:space="preserve">ověří </w:t>
      </w:r>
      <w:r w:rsidRPr="00EC14F6">
        <w:rPr>
          <w:rFonts w:ascii="Times New Roman" w:hAnsi="Times New Roman"/>
          <w:b w:val="0"/>
        </w:rPr>
        <w:t xml:space="preserve">splnění podmínek pravidel daného dotačního programu. V případě zjištění nedostatků </w:t>
      </w:r>
      <w:r>
        <w:rPr>
          <w:rFonts w:ascii="Times New Roman" w:hAnsi="Times New Roman"/>
          <w:b w:val="0"/>
        </w:rPr>
        <w:t xml:space="preserve">centrální </w:t>
      </w:r>
      <w:r w:rsidRPr="00EC14F6">
        <w:rPr>
          <w:rFonts w:ascii="Times New Roman" w:hAnsi="Times New Roman"/>
          <w:b w:val="0"/>
        </w:rPr>
        <w:t>administrátor bez zbytečného odkladu kontaktuje žadatele s výzvou o nápravu zjištěných nedostatků. Výzvu učin</w:t>
      </w:r>
      <w:r w:rsidRPr="00246189">
        <w:rPr>
          <w:rFonts w:ascii="Times New Roman" w:hAnsi="Times New Roman"/>
          <w:b w:val="0"/>
        </w:rPr>
        <w:t xml:space="preserve">í elektronicky prostřednictvím elektronické pošty s tím, že si vyžádá potvrzení přijetí této výzvy. V případě, že žadatel přijetí elektronické výzvy nepotvrdí, odešle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výzvu písemně </w:t>
      </w:r>
      <w:r>
        <w:rPr>
          <w:rFonts w:ascii="Times New Roman" w:hAnsi="Times New Roman"/>
          <w:b w:val="0"/>
        </w:rPr>
        <w:t xml:space="preserve">(datová zpráva, </w:t>
      </w:r>
      <w:r w:rsidRPr="00246189">
        <w:rPr>
          <w:rFonts w:ascii="Times New Roman" w:hAnsi="Times New Roman"/>
          <w:b w:val="0"/>
        </w:rPr>
        <w:t>doporučený dopis</w:t>
      </w:r>
      <w:r>
        <w:rPr>
          <w:rFonts w:ascii="Times New Roman" w:hAnsi="Times New Roman"/>
          <w:b w:val="0"/>
        </w:rPr>
        <w:t xml:space="preserve"> s</w:t>
      </w:r>
      <w:r w:rsidR="003A58D2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doručenk</w:t>
      </w:r>
      <w:r>
        <w:rPr>
          <w:rFonts w:ascii="Times New Roman" w:hAnsi="Times New Roman"/>
          <w:b w:val="0"/>
        </w:rPr>
        <w:t>ou, osobně</w:t>
      </w:r>
      <w:r w:rsidRPr="00246189">
        <w:rPr>
          <w:rFonts w:ascii="Times New Roman" w:hAnsi="Times New Roman"/>
          <w:b w:val="0"/>
        </w:rPr>
        <w:t>)</w:t>
      </w:r>
      <w:r w:rsidR="00540BA9">
        <w:rPr>
          <w:rFonts w:ascii="Times New Roman" w:hAnsi="Times New Roman"/>
          <w:b w:val="0"/>
        </w:rPr>
        <w:t xml:space="preserve"> případně kontaktuje žadatele telefonicky</w:t>
      </w:r>
      <w:r w:rsidRPr="00246189">
        <w:rPr>
          <w:rFonts w:ascii="Times New Roman" w:hAnsi="Times New Roman"/>
          <w:b w:val="0"/>
        </w:rPr>
        <w:t>.</w:t>
      </w:r>
    </w:p>
    <w:p w:rsidRPr="00E32CDC" w:rsidR="00984476" w:rsidP="00452CA4" w:rsidRDefault="00984476" w14:paraId="1EC8512F" w14:textId="1635E947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246189">
        <w:rPr>
          <w:rFonts w:ascii="Times New Roman" w:hAnsi="Times New Roman"/>
          <w:b w:val="0"/>
        </w:rPr>
        <w:t>dministrátor provede kontrolu duplicit žádostí, tj. zda žadatel nežádá vícekrát na stejný účel v rámci daného dotačního programu, v rámci podobných dotačních programů nebo v kombinaci dotační program a individuální dotace. K tomu využije dostupných elektronických prostředků (modul VFP</w:t>
      </w:r>
      <w:r>
        <w:rPr>
          <w:rFonts w:ascii="Times New Roman" w:hAnsi="Times New Roman"/>
          <w:b w:val="0"/>
        </w:rPr>
        <w:t>,</w:t>
      </w:r>
      <w:r w:rsidRPr="00246189">
        <w:rPr>
          <w:rFonts w:ascii="Times New Roman" w:hAnsi="Times New Roman"/>
          <w:b w:val="0"/>
        </w:rPr>
        <w:t xml:space="preserve"> příp. pomocnou evidenci centrálního administrátora). V případě, že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zjistí duplicitu žádostí, bez zbytečného odkladu informuje žadatele s návrhem na zpětvzetí duplicitní žádosti. V případě, že žadatel vezme zpět svoji žádost,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tuto skutečnost zaznamená do</w:t>
      </w:r>
      <w:r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 xml:space="preserve">modulu VFP. V případě, že žadatel nevezme zpět svoji žádost, </w:t>
      </w:r>
      <w:r>
        <w:rPr>
          <w:rFonts w:ascii="Times New Roman" w:hAnsi="Times New Roman"/>
          <w:b w:val="0"/>
        </w:rPr>
        <w:t xml:space="preserve">centrální </w:t>
      </w:r>
      <w:r w:rsidRPr="00E32CDC">
        <w:rPr>
          <w:rFonts w:ascii="Times New Roman" w:hAnsi="Times New Roman"/>
          <w:b w:val="0"/>
        </w:rPr>
        <w:t xml:space="preserve">administrátor žádost z další administrace </w:t>
      </w:r>
      <w:r>
        <w:rPr>
          <w:rFonts w:ascii="Times New Roman" w:hAnsi="Times New Roman"/>
          <w:b w:val="0"/>
        </w:rPr>
        <w:t xml:space="preserve">dotace </w:t>
      </w:r>
      <w:r w:rsidRPr="00E32CDC">
        <w:rPr>
          <w:rFonts w:ascii="Times New Roman" w:hAnsi="Times New Roman"/>
          <w:b w:val="0"/>
        </w:rPr>
        <w:t xml:space="preserve">nevyloučí, ale předá jí k projednání </w:t>
      </w:r>
      <w:r w:rsidR="002A63EF">
        <w:rPr>
          <w:rFonts w:ascii="Times New Roman" w:hAnsi="Times New Roman"/>
          <w:b w:val="0"/>
        </w:rPr>
        <w:t>příslušnému</w:t>
      </w:r>
      <w:r w:rsidRPr="00E32CDC" w:rsidR="002A63EF">
        <w:rPr>
          <w:rFonts w:ascii="Times New Roman" w:hAnsi="Times New Roman"/>
          <w:b w:val="0"/>
        </w:rPr>
        <w:t xml:space="preserve"> </w:t>
      </w:r>
      <w:r w:rsidR="002A63EF">
        <w:rPr>
          <w:rFonts w:ascii="Times New Roman" w:hAnsi="Times New Roman"/>
          <w:b w:val="0"/>
        </w:rPr>
        <w:t>orgánu</w:t>
      </w:r>
      <w:r w:rsidRPr="00E32CDC" w:rsidR="002A63EF">
        <w:rPr>
          <w:rFonts w:ascii="Times New Roman" w:hAnsi="Times New Roman"/>
          <w:b w:val="0"/>
        </w:rPr>
        <w:t xml:space="preserve"> </w:t>
      </w:r>
      <w:r w:rsidRPr="00E32CDC">
        <w:rPr>
          <w:rFonts w:ascii="Times New Roman" w:hAnsi="Times New Roman"/>
          <w:b w:val="0"/>
        </w:rPr>
        <w:t>kraje s upozorněním, že</w:t>
      </w:r>
      <w:r w:rsidR="00C264E6"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>se jedná o duplicitní žádost.</w:t>
      </w:r>
    </w:p>
    <w:p w:rsidR="00096A66" w:rsidP="00452CA4" w:rsidRDefault="00B46764" w14:paraId="4B06E254" w14:textId="77777777">
      <w:pPr>
        <w:pStyle w:val="Odstavecseseznamem"/>
        <w:numPr>
          <w:ilvl w:val="0"/>
          <w:numId w:val="1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bookmarkStart w:name="_Toc526920593" w:id="33"/>
      <w:r w:rsidRPr="0085409D">
        <w:rPr>
          <w:rFonts w:ascii="Times New Roman" w:hAnsi="Times New Roman" w:eastAsia="Times New Roman"/>
          <w:b w:val="0"/>
        </w:rPr>
        <w:t>Centrální a</w:t>
      </w:r>
      <w:r w:rsidRPr="00EC14F6">
        <w:rPr>
          <w:rFonts w:ascii="Times New Roman" w:hAnsi="Times New Roman" w:eastAsia="Times New Roman"/>
          <w:b w:val="0"/>
        </w:rPr>
        <w:t xml:space="preserve">dministrátor prověří identifikační údaje o žadateli ve veřejných rejstřících a požádá finanční odbor o sdělení, zda žadatel nemá </w:t>
      </w:r>
      <w:r>
        <w:rPr>
          <w:rFonts w:ascii="Times New Roman" w:hAnsi="Times New Roman" w:eastAsia="Times New Roman"/>
          <w:b w:val="0"/>
        </w:rPr>
        <w:t xml:space="preserve">finanční </w:t>
      </w:r>
      <w:r w:rsidRPr="00EC14F6">
        <w:rPr>
          <w:rFonts w:ascii="Times New Roman" w:hAnsi="Times New Roman" w:eastAsia="Times New Roman"/>
          <w:b w:val="0"/>
        </w:rPr>
        <w:t>dluhy po lhůtě splatnosti vůči kraji</w:t>
      </w:r>
      <w:r>
        <w:rPr>
          <w:rFonts w:ascii="Times New Roman" w:hAnsi="Times New Roman" w:eastAsia="Times New Roman"/>
          <w:b w:val="0"/>
        </w:rPr>
        <w:t xml:space="preserve">. </w:t>
      </w:r>
    </w:p>
    <w:p w:rsidR="00096A66" w:rsidP="00452CA4" w:rsidRDefault="00096A66" w14:paraId="07547A01" w14:textId="61FE25A7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="00452CA4" w:rsidP="00452CA4" w:rsidRDefault="00452CA4" w14:paraId="6DF74FA2" w14:textId="43B6DD22"/>
    <w:p w:rsidRPr="00452CA4" w:rsidR="00452CA4" w:rsidP="00452CA4" w:rsidRDefault="00452CA4" w14:paraId="594E2EC0" w14:textId="77777777"/>
    <w:p w:rsidRPr="005E102E" w:rsidR="00984476" w:rsidP="00452CA4" w:rsidRDefault="00984476" w14:paraId="21B4AA95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5E102E">
        <w:rPr>
          <w:b/>
          <w:i/>
          <w:sz w:val="22"/>
          <w:szCs w:val="22"/>
        </w:rPr>
        <w:t>Část čtvrtá</w:t>
      </w:r>
      <w:bookmarkEnd w:id="33"/>
    </w:p>
    <w:p w:rsidRPr="00830A40" w:rsidR="00984476" w:rsidP="00452CA4" w:rsidRDefault="00984476" w14:paraId="64EE2991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594" w:id="34"/>
      <w:r w:rsidRPr="00830A40">
        <w:rPr>
          <w:b/>
          <w:caps/>
          <w:sz w:val="22"/>
          <w:szCs w:val="22"/>
        </w:rPr>
        <w:t>Příjem a administrace individuálních dotací</w:t>
      </w:r>
      <w:bookmarkEnd w:id="34"/>
    </w:p>
    <w:p w:rsidR="005E102E" w:rsidP="00452CA4" w:rsidRDefault="005E102E" w14:paraId="5043CB0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5" w:id="35"/>
    </w:p>
    <w:p w:rsidRPr="005E102E" w:rsidR="00984476" w:rsidP="00452CA4" w:rsidRDefault="00984476" w14:paraId="53B3207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XIV.</w:t>
      </w:r>
      <w:bookmarkEnd w:id="35"/>
    </w:p>
    <w:p w:rsidRPr="005E102E" w:rsidR="00984476" w:rsidP="00452CA4" w:rsidRDefault="00984476" w14:paraId="45661A0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6" w:id="36"/>
      <w:r w:rsidRPr="005E102E">
        <w:rPr>
          <w:b/>
          <w:sz w:val="22"/>
          <w:szCs w:val="22"/>
        </w:rPr>
        <w:t>Příprava příjmu žádostí</w:t>
      </w:r>
      <w:bookmarkEnd w:id="36"/>
    </w:p>
    <w:p w:rsidRPr="00C171DA" w:rsidR="00984476" w:rsidP="00181894" w:rsidRDefault="00984476" w14:paraId="357C4C98" w14:textId="5A4FFE45">
      <w:pPr>
        <w:pStyle w:val="Odstavecseseznamem"/>
        <w:numPr>
          <w:ilvl w:val="0"/>
          <w:numId w:val="1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C171DA">
        <w:rPr>
          <w:rFonts w:ascii="Times New Roman" w:hAnsi="Times New Roman"/>
          <w:b w:val="0"/>
        </w:rPr>
        <w:t>Individuální dotace se nevyhlašují. Žádosti se přijímají průběžně po celou dobu kalendářního roku.</w:t>
      </w:r>
    </w:p>
    <w:p w:rsidRPr="00246189" w:rsidR="00BC085C" w:rsidP="00181894" w:rsidRDefault="00BC085C" w14:paraId="73FA0DAA" w14:textId="49DA9447">
      <w:pPr>
        <w:pStyle w:val="Odstavecseseznamem"/>
        <w:numPr>
          <w:ilvl w:val="0"/>
          <w:numId w:val="1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bookmarkStart w:name="_Toc526920597" w:id="37"/>
      <w:r w:rsidRPr="00246189">
        <w:rPr>
          <w:rFonts w:ascii="Times New Roman" w:hAnsi="Times New Roman"/>
          <w:b w:val="0"/>
        </w:rPr>
        <w:t>Centrální administrátor zajistí:</w:t>
      </w:r>
    </w:p>
    <w:p w:rsidRPr="00246189" w:rsidR="00BC085C" w:rsidP="004F0239" w:rsidRDefault="00BC085C" w14:paraId="690DE3B2" w14:textId="77777777">
      <w:pPr>
        <w:pStyle w:val="Odstavecseseznamem"/>
        <w:numPr>
          <w:ilvl w:val="1"/>
          <w:numId w:val="1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zadání informací o </w:t>
      </w:r>
      <w:r>
        <w:rPr>
          <w:rFonts w:ascii="Times New Roman" w:hAnsi="Times New Roman"/>
          <w:b w:val="0"/>
        </w:rPr>
        <w:t>individuálních dotacích na další kalendářní rok</w:t>
      </w:r>
      <w:r w:rsidRPr="00246189">
        <w:rPr>
          <w:rFonts w:ascii="Times New Roman" w:hAnsi="Times New Roman"/>
          <w:b w:val="0"/>
        </w:rPr>
        <w:t xml:space="preserve"> do</w:t>
      </w:r>
      <w:r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modulu VFP</w:t>
      </w:r>
      <w:r w:rsidR="00981DEB">
        <w:rPr>
          <w:rFonts w:ascii="Times New Roman" w:hAnsi="Times New Roman"/>
          <w:b w:val="0"/>
        </w:rPr>
        <w:t>,</w:t>
      </w:r>
    </w:p>
    <w:p w:rsidRPr="00246189" w:rsidR="00BC085C" w:rsidP="004F0239" w:rsidRDefault="00BC085C" w14:paraId="28778C3A" w14:textId="77777777">
      <w:pPr>
        <w:pStyle w:val="Odstavecseseznamem"/>
        <w:numPr>
          <w:ilvl w:val="1"/>
          <w:numId w:val="1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přípravu elektronického formuláře žádosti do lhůty pro počátek </w:t>
      </w:r>
      <w:r>
        <w:rPr>
          <w:rFonts w:ascii="Times New Roman" w:hAnsi="Times New Roman"/>
          <w:b w:val="0"/>
        </w:rPr>
        <w:t xml:space="preserve">příjmu </w:t>
      </w:r>
      <w:r w:rsidRPr="00246189">
        <w:rPr>
          <w:rFonts w:ascii="Times New Roman" w:hAnsi="Times New Roman"/>
          <w:b w:val="0"/>
        </w:rPr>
        <w:t>elektronických žádostí,</w:t>
      </w:r>
    </w:p>
    <w:p w:rsidRPr="001C1BF2" w:rsidR="00BC085C" w:rsidP="004F0239" w:rsidRDefault="00BC085C" w14:paraId="20286D72" w14:textId="77777777">
      <w:pPr>
        <w:pStyle w:val="Odstavecseseznamem"/>
        <w:numPr>
          <w:ilvl w:val="1"/>
          <w:numId w:val="1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1C1BF2">
        <w:rPr>
          <w:rFonts w:ascii="Times New Roman" w:hAnsi="Times New Roman"/>
          <w:b w:val="0"/>
        </w:rPr>
        <w:t xml:space="preserve">zadání údajů k individuálním dotacím do modulu RAP a zkontroluje nastavení modulu RAP tak, aby byla splněna podmínka </w:t>
      </w:r>
      <w:r w:rsidR="001C1BF2">
        <w:rPr>
          <w:rFonts w:ascii="Times New Roman" w:hAnsi="Times New Roman"/>
          <w:b w:val="0"/>
        </w:rPr>
        <w:t>celoročního příjmu žádostí</w:t>
      </w:r>
      <w:r w:rsidRPr="001C1BF2">
        <w:rPr>
          <w:rFonts w:ascii="Times New Roman" w:hAnsi="Times New Roman"/>
          <w:b w:val="0"/>
        </w:rPr>
        <w:t>.</w:t>
      </w:r>
    </w:p>
    <w:p w:rsidR="005E102E" w:rsidP="00181894" w:rsidRDefault="005E102E" w14:paraId="07459315" w14:textId="672640AA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Pr="00181894" w:rsidR="00181894" w:rsidP="00181894" w:rsidRDefault="00181894" w14:paraId="418B9864" w14:textId="77777777"/>
    <w:p w:rsidRPr="005E102E" w:rsidR="00984476" w:rsidP="00181894" w:rsidRDefault="00984476" w14:paraId="4E273569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XV.</w:t>
      </w:r>
      <w:bookmarkEnd w:id="37"/>
    </w:p>
    <w:p w:rsidRPr="005E102E" w:rsidR="00984476" w:rsidP="00181894" w:rsidRDefault="00984476" w14:paraId="49F46B2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598" w:id="38"/>
      <w:r w:rsidRPr="005E102E">
        <w:rPr>
          <w:b/>
          <w:sz w:val="22"/>
          <w:szCs w:val="22"/>
        </w:rPr>
        <w:t>Registrace žadatelů</w:t>
      </w:r>
      <w:bookmarkEnd w:id="38"/>
      <w:r w:rsidRPr="005E102E">
        <w:rPr>
          <w:b/>
          <w:sz w:val="22"/>
          <w:szCs w:val="22"/>
        </w:rPr>
        <w:t xml:space="preserve"> </w:t>
      </w:r>
    </w:p>
    <w:p w:rsidR="00984476" w:rsidP="00181894" w:rsidRDefault="00984476" w14:paraId="7624FCFF" w14:textId="77777777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Registrace žadatelů probíhá způsobem uvedeným v </w:t>
      </w:r>
      <w:r w:rsidRPr="00E3678B">
        <w:rPr>
          <w:rFonts w:ascii="Times New Roman" w:hAnsi="Times New Roman"/>
          <w:b w:val="0"/>
        </w:rPr>
        <w:t>čl. XI.</w:t>
      </w:r>
    </w:p>
    <w:p w:rsidR="00594010" w:rsidP="00181894" w:rsidRDefault="00594010" w14:paraId="6537F28F" w14:textId="212E5CD0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0AAB4FFD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2225D7" w:rsidRDefault="002225D7" w14:paraId="4C891B31" w14:textId="77777777">
      <w:pPr>
        <w:rPr>
          <w:b/>
          <w:bCs/>
          <w:snapToGrid w:val="0"/>
          <w:sz w:val="22"/>
          <w:szCs w:val="22"/>
        </w:rPr>
      </w:pPr>
      <w:bookmarkStart w:name="_Toc526920599" w:id="39"/>
      <w:r>
        <w:rPr>
          <w:b/>
          <w:sz w:val="22"/>
          <w:szCs w:val="22"/>
        </w:rPr>
        <w:br w:type="page"/>
      </w:r>
    </w:p>
    <w:p w:rsidRPr="00984476" w:rsidR="00984476" w:rsidP="00181894" w:rsidRDefault="00984476" w14:paraId="7FB7B68B" w14:textId="1C7195B6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984476">
        <w:rPr>
          <w:b/>
          <w:sz w:val="22"/>
          <w:szCs w:val="22"/>
        </w:rPr>
        <w:lastRenderedPageBreak/>
        <w:t>Čl. XVI.</w:t>
      </w:r>
      <w:bookmarkEnd w:id="39"/>
    </w:p>
    <w:p w:rsidRPr="00984476" w:rsidR="00984476" w:rsidP="00181894" w:rsidRDefault="00984476" w14:paraId="103E1B4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0" w:id="40"/>
      <w:r w:rsidRPr="00984476">
        <w:rPr>
          <w:b/>
          <w:sz w:val="22"/>
          <w:szCs w:val="22"/>
        </w:rPr>
        <w:t>Příjem žádostí</w:t>
      </w:r>
      <w:bookmarkEnd w:id="40"/>
    </w:p>
    <w:p w:rsidR="00984476" w:rsidP="00181894" w:rsidRDefault="00984476" w14:paraId="3FBFACA9" w14:textId="77777777">
      <w:pPr>
        <w:pStyle w:val="Odstavecseseznamem"/>
        <w:numPr>
          <w:ilvl w:val="0"/>
          <w:numId w:val="12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Žádosti se přijímají elektronicky prostřednictvím modulu RAP</w:t>
      </w:r>
      <w:r w:rsidR="00A150CF">
        <w:rPr>
          <w:rFonts w:ascii="Times New Roman" w:hAnsi="Times New Roman"/>
          <w:b w:val="0"/>
        </w:rPr>
        <w:t xml:space="preserve">, popř. je pořídí centrální administrátor </w:t>
      </w:r>
      <w:r w:rsidR="00A150CF">
        <w:rPr>
          <w:rFonts w:ascii="Times New Roman" w:hAnsi="Times New Roman" w:eastAsia="Times New Roman"/>
          <w:b w:val="0"/>
        </w:rPr>
        <w:t>v modulu VFP v případě doručení pouze listinné žádosti</w:t>
      </w:r>
      <w:r w:rsidR="00BE555E">
        <w:rPr>
          <w:rFonts w:ascii="Times New Roman" w:hAnsi="Times New Roman"/>
          <w:b w:val="0"/>
        </w:rPr>
        <w:t>.</w:t>
      </w:r>
    </w:p>
    <w:p w:rsidR="00984476" w:rsidP="00181894" w:rsidRDefault="00984476" w14:paraId="1ED5E76D" w14:textId="77777777">
      <w:pPr>
        <w:pStyle w:val="Odstavecseseznamem"/>
        <w:numPr>
          <w:ilvl w:val="0"/>
          <w:numId w:val="12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Dále se postupuje způsobem uvedeným v čl. XII. odst. 3 až 5.</w:t>
      </w:r>
    </w:p>
    <w:p w:rsidR="009E6243" w:rsidP="00181894" w:rsidRDefault="009E6243" w14:paraId="621C9CFF" w14:textId="77777777">
      <w:pPr>
        <w:pStyle w:val="Odstavecseseznamem"/>
        <w:numPr>
          <w:ilvl w:val="0"/>
          <w:numId w:val="12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 případě, že žadatel nedoručí listinnou žádost do 10 pracovních </w:t>
      </w:r>
      <w:r w:rsidR="009747CF">
        <w:rPr>
          <w:rFonts w:ascii="Times New Roman" w:hAnsi="Times New Roman"/>
          <w:b w:val="0"/>
        </w:rPr>
        <w:t>dnů</w:t>
      </w:r>
      <w:r>
        <w:rPr>
          <w:rFonts w:ascii="Times New Roman" w:hAnsi="Times New Roman"/>
          <w:b w:val="0"/>
        </w:rPr>
        <w:t xml:space="preserve">, centrální administrátor vhodným způsobem vyzve (telefonicky, e-mailem, písemně) žadatele, aby žádost doručil, případně ji stornoval, do 5 pracovních </w:t>
      </w:r>
      <w:r w:rsidR="009747CF">
        <w:rPr>
          <w:rFonts w:ascii="Times New Roman" w:hAnsi="Times New Roman"/>
          <w:b w:val="0"/>
        </w:rPr>
        <w:t>dnů</w:t>
      </w:r>
      <w:r>
        <w:rPr>
          <w:rFonts w:ascii="Times New Roman" w:hAnsi="Times New Roman"/>
          <w:b w:val="0"/>
        </w:rPr>
        <w:t>.</w:t>
      </w:r>
    </w:p>
    <w:p w:rsidR="009E6243" w:rsidP="00181894" w:rsidRDefault="009E6243" w14:paraId="6DFB9E20" w14:textId="11E89FF0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244C8258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984476" w:rsidR="00984476" w:rsidP="00181894" w:rsidRDefault="00984476" w14:paraId="6844481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1" w:id="41"/>
      <w:r w:rsidRPr="00984476">
        <w:rPr>
          <w:b/>
          <w:sz w:val="22"/>
          <w:szCs w:val="22"/>
        </w:rPr>
        <w:t>Čl. XVII.</w:t>
      </w:r>
      <w:bookmarkEnd w:id="41"/>
    </w:p>
    <w:p w:rsidRPr="00984476" w:rsidR="00984476" w:rsidP="00181894" w:rsidRDefault="00984476" w14:paraId="1907B5B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2" w:id="42"/>
      <w:r w:rsidRPr="00984476">
        <w:rPr>
          <w:b/>
          <w:sz w:val="22"/>
          <w:szCs w:val="22"/>
        </w:rPr>
        <w:t>Formální kontrola žádostí</w:t>
      </w:r>
      <w:bookmarkEnd w:id="42"/>
    </w:p>
    <w:p w:rsidRPr="00E3678B" w:rsidR="00984476" w:rsidP="00181894" w:rsidRDefault="00984476" w14:paraId="59258593" w14:textId="77777777">
      <w:pPr>
        <w:pStyle w:val="Odstavecseseznamem"/>
        <w:numPr>
          <w:ilvl w:val="0"/>
          <w:numId w:val="1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Formální kontrola žádostí o individuální dotaci probíhá obdobným způsobem uvedeným </w:t>
      </w:r>
      <w:r w:rsidRPr="00E3678B">
        <w:rPr>
          <w:rFonts w:ascii="Times New Roman" w:hAnsi="Times New Roman"/>
          <w:b w:val="0"/>
        </w:rPr>
        <w:t>v čl. XIII.</w:t>
      </w:r>
    </w:p>
    <w:p w:rsidRPr="003B1EC2" w:rsidR="00984476" w:rsidP="00181894" w:rsidRDefault="00984476" w14:paraId="549653DE" w14:textId="708BA0F3">
      <w:pPr>
        <w:pStyle w:val="Odstavecseseznamem"/>
        <w:numPr>
          <w:ilvl w:val="0"/>
          <w:numId w:val="1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  <w:strike/>
        </w:rPr>
      </w:pPr>
      <w:r w:rsidRPr="00246189">
        <w:rPr>
          <w:rFonts w:ascii="Times New Roman" w:hAnsi="Times New Roman"/>
          <w:b w:val="0"/>
        </w:rPr>
        <w:t xml:space="preserve">Centrální administrátor si před projednáním v orgánech kraje </w:t>
      </w:r>
      <w:r w:rsidR="00BA4F9C">
        <w:rPr>
          <w:rFonts w:ascii="Times New Roman" w:hAnsi="Times New Roman"/>
          <w:b w:val="0"/>
        </w:rPr>
        <w:t>prověří</w:t>
      </w:r>
      <w:r w:rsidRPr="00246189">
        <w:rPr>
          <w:rFonts w:ascii="Times New Roman" w:hAnsi="Times New Roman"/>
          <w:b w:val="0"/>
        </w:rPr>
        <w:t>, zda žádost</w:t>
      </w:r>
      <w:r w:rsidR="006C1EB4">
        <w:rPr>
          <w:rFonts w:ascii="Times New Roman" w:hAnsi="Times New Roman"/>
          <w:b w:val="0"/>
        </w:rPr>
        <w:t xml:space="preserve"> splňuje podmínku uvedenou v čl. I. odst. 2, tj. zda je</w:t>
      </w:r>
      <w:r w:rsidRPr="0024618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v souladu se strategickými a rozvojovými plány kraje</w:t>
      </w:r>
      <w:r w:rsidRPr="00E3678B">
        <w:rPr>
          <w:rFonts w:ascii="Times New Roman" w:hAnsi="Times New Roman"/>
          <w:b w:val="0"/>
        </w:rPr>
        <w:t xml:space="preserve"> a zda je žádost možné finančně pokrýt.</w:t>
      </w:r>
      <w:r w:rsidR="00EC18A5">
        <w:rPr>
          <w:rFonts w:ascii="Times New Roman" w:hAnsi="Times New Roman"/>
          <w:b w:val="0"/>
        </w:rPr>
        <w:t xml:space="preserve"> Centrální administrátor připojí k materiálu pro jednání orgánu kraje </w:t>
      </w:r>
      <w:r w:rsidR="009E6243">
        <w:rPr>
          <w:rFonts w:ascii="Times New Roman" w:hAnsi="Times New Roman"/>
          <w:b w:val="0"/>
        </w:rPr>
        <w:t xml:space="preserve">kopii </w:t>
      </w:r>
      <w:r w:rsidR="00EC18A5">
        <w:rPr>
          <w:rFonts w:ascii="Times New Roman" w:hAnsi="Times New Roman"/>
          <w:b w:val="0"/>
        </w:rPr>
        <w:t xml:space="preserve">příslušné individuální žádosti </w:t>
      </w:r>
      <w:r w:rsidR="00DE7621">
        <w:rPr>
          <w:rFonts w:ascii="Times New Roman" w:hAnsi="Times New Roman"/>
          <w:b w:val="0"/>
        </w:rPr>
        <w:t xml:space="preserve">a stanovisko odboru, z jehož rozpočtu se bude dotace financovat </w:t>
      </w:r>
      <w:r w:rsidR="00EC18A5">
        <w:rPr>
          <w:rFonts w:ascii="Times New Roman" w:hAnsi="Times New Roman"/>
          <w:b w:val="0"/>
        </w:rPr>
        <w:t xml:space="preserve">nebo v důvodové zprávě popíše účel a cíl dotace tak, jak je v žádosti uvedeno. </w:t>
      </w:r>
      <w:r w:rsidR="00DE7621">
        <w:rPr>
          <w:rFonts w:ascii="Times New Roman" w:hAnsi="Times New Roman"/>
          <w:b w:val="0"/>
        </w:rPr>
        <w:t>V případě, že nelze určit odbor, z jehož rozpočtu se bude žádost financovat, rozhodne porada vedení kraje.</w:t>
      </w:r>
    </w:p>
    <w:p w:rsidR="003B1EC2" w:rsidP="00181894" w:rsidRDefault="003B1EC2" w14:paraId="70DF9E56" w14:textId="415343E6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32609942" w14:textId="3EE4567D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181894" w:rsidP="00181894" w:rsidRDefault="00181894" w14:paraId="58D6C742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Pr="005E102E" w:rsidR="00984476" w:rsidP="00181894" w:rsidRDefault="00984476" w14:paraId="1D032CF2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bookmarkStart w:name="_Toc526920603" w:id="43"/>
      <w:r w:rsidRPr="005E102E">
        <w:rPr>
          <w:b/>
          <w:i/>
          <w:sz w:val="22"/>
          <w:szCs w:val="22"/>
        </w:rPr>
        <w:t>Část pátá</w:t>
      </w:r>
      <w:bookmarkEnd w:id="43"/>
    </w:p>
    <w:p w:rsidRPr="00452CA4" w:rsidR="00984476" w:rsidP="00181894" w:rsidRDefault="00984476" w14:paraId="488FD60A" w14:textId="1017CF51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604" w:id="44"/>
      <w:r w:rsidRPr="00452CA4">
        <w:rPr>
          <w:b/>
          <w:caps/>
          <w:sz w:val="22"/>
          <w:szCs w:val="22"/>
        </w:rPr>
        <w:t>Administrace žádostí – společná ustanovení (programové a</w:t>
      </w:r>
      <w:r w:rsidR="003A58D2">
        <w:rPr>
          <w:b/>
          <w:caps/>
          <w:sz w:val="22"/>
          <w:szCs w:val="22"/>
        </w:rPr>
        <w:t> </w:t>
      </w:r>
      <w:r w:rsidRPr="00452CA4">
        <w:rPr>
          <w:b/>
          <w:caps/>
          <w:sz w:val="22"/>
          <w:szCs w:val="22"/>
        </w:rPr>
        <w:t>individuální dotace)</w:t>
      </w:r>
      <w:bookmarkEnd w:id="44"/>
    </w:p>
    <w:p w:rsidR="00181894" w:rsidP="00181894" w:rsidRDefault="00181894" w14:paraId="7A2EEAE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5" w:id="45"/>
    </w:p>
    <w:p w:rsidRPr="005E102E" w:rsidR="00984476" w:rsidP="00181894" w:rsidRDefault="00984476" w14:paraId="09066150" w14:textId="75773B68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XVIII.</w:t>
      </w:r>
      <w:bookmarkEnd w:id="45"/>
    </w:p>
    <w:p w:rsidRPr="005E102E" w:rsidR="00984476" w:rsidP="00181894" w:rsidRDefault="00984476" w14:paraId="5D82FB9C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6" w:id="46"/>
      <w:r w:rsidRPr="005E102E">
        <w:rPr>
          <w:b/>
          <w:sz w:val="22"/>
          <w:szCs w:val="22"/>
        </w:rPr>
        <w:t>Projednání žádostí</w:t>
      </w:r>
      <w:bookmarkEnd w:id="46"/>
    </w:p>
    <w:p w:rsidRPr="00D1184F" w:rsidR="009B3BED" w:rsidP="001041F7" w:rsidRDefault="00984476" w14:paraId="59FBDB2C" w14:textId="1E7E1BC8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D1184F">
        <w:rPr>
          <w:rFonts w:ascii="Times New Roman" w:hAnsi="Times New Roman"/>
          <w:b w:val="0"/>
        </w:rPr>
        <w:t>Žádosti projednává a o</w:t>
      </w:r>
      <w:r w:rsidRPr="00D1184F">
        <w:rPr>
          <w:rFonts w:ascii="Times New Roman" w:hAnsi="Times New Roman" w:eastAsia="Times New Roman"/>
          <w:b w:val="0"/>
        </w:rPr>
        <w:t xml:space="preserve"> poskytnutí dotace včetně její výše konkrétním žadatelům rozhoduje </w:t>
      </w:r>
      <w:r w:rsidR="0087667A">
        <w:rPr>
          <w:rFonts w:ascii="Times New Roman" w:hAnsi="Times New Roman" w:eastAsia="Times New Roman"/>
          <w:b w:val="0"/>
        </w:rPr>
        <w:t>v souladu se zákonem</w:t>
      </w:r>
      <w:r w:rsidR="0087667A">
        <w:rPr>
          <w:rStyle w:val="Znakapoznpodarou"/>
          <w:rFonts w:ascii="Times New Roman" w:hAnsi="Times New Roman" w:eastAsia="Times New Roman"/>
          <w:b w:val="0"/>
        </w:rPr>
        <w:footnoteReference w:id="6"/>
      </w:r>
      <w:r w:rsidR="001D45C5">
        <w:rPr>
          <w:rFonts w:ascii="Times New Roman" w:hAnsi="Times New Roman"/>
          <w:b w:val="0"/>
        </w:rPr>
        <w:t xml:space="preserve"> </w:t>
      </w:r>
      <w:r w:rsidRPr="001D45C5" w:rsidR="001D45C5">
        <w:rPr>
          <w:rFonts w:ascii="Times New Roman" w:hAnsi="Times New Roman"/>
          <w:b w:val="0"/>
        </w:rPr>
        <w:t>rada kraje nebo zastupitelstvo kraje.</w:t>
      </w:r>
    </w:p>
    <w:p w:rsidRPr="00246189" w:rsidR="00984476" w:rsidP="00181894" w:rsidRDefault="00984476" w14:paraId="691BC96C" w14:textId="77777777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Centrální administrátor </w:t>
      </w:r>
      <w:r w:rsidRPr="00246189">
        <w:rPr>
          <w:rFonts w:ascii="Times New Roman" w:hAnsi="Times New Roman" w:eastAsia="Times New Roman"/>
          <w:b w:val="0"/>
        </w:rPr>
        <w:t xml:space="preserve">předloží žádosti k posouzení do komise rady kraje nebo výboru zastupitelstva kraje, jsou-li zřízeny. </w:t>
      </w:r>
      <w:r w:rsidRPr="00246189">
        <w:rPr>
          <w:rFonts w:ascii="Times New Roman" w:hAnsi="Times New Roman"/>
          <w:b w:val="0"/>
        </w:rPr>
        <w:t xml:space="preserve">Před projednáním v zastupitelstvu kraje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zajistí projednání také ve finančním výboru</w:t>
      </w:r>
      <w:r>
        <w:rPr>
          <w:rFonts w:ascii="Times New Roman" w:hAnsi="Times New Roman"/>
          <w:b w:val="0"/>
        </w:rPr>
        <w:t xml:space="preserve"> v případě, že finanční prostředky na dotační program nebyly schváleny v rámci rozpočtu pro daný rok</w:t>
      </w:r>
      <w:r w:rsidRPr="00246189">
        <w:rPr>
          <w:rFonts w:ascii="Times New Roman" w:hAnsi="Times New Roman"/>
          <w:b w:val="0"/>
        </w:rPr>
        <w:t>.</w:t>
      </w:r>
    </w:p>
    <w:p w:rsidRPr="00E32CDC" w:rsidR="000726C1" w:rsidP="00181894" w:rsidRDefault="000726C1" w14:paraId="32499E98" w14:textId="77777777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32CDC">
        <w:rPr>
          <w:rFonts w:ascii="Times New Roman" w:hAnsi="Times New Roman" w:eastAsia="Times New Roman"/>
          <w:b w:val="0"/>
        </w:rPr>
        <w:t>Žádosti, které nesplňují podmínky, nejsou doručeny řádně (předepsaným způsobem), včas nebo</w:t>
      </w:r>
      <w:r w:rsidR="000277EA"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 xml:space="preserve">nejsou ve stanovené lhůtě řádně a včas doplněny, předloží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E32CDC">
        <w:rPr>
          <w:rFonts w:ascii="Times New Roman" w:hAnsi="Times New Roman" w:eastAsia="Times New Roman"/>
          <w:b w:val="0"/>
        </w:rPr>
        <w:t>administrátor orgánům poskytovatele s odůvodněním a doporučením, aby dotace nebyla poskytnuta</w:t>
      </w:r>
      <w:r>
        <w:rPr>
          <w:rFonts w:ascii="Times New Roman" w:hAnsi="Times New Roman" w:eastAsia="Times New Roman"/>
          <w:b w:val="0"/>
        </w:rPr>
        <w:t xml:space="preserve"> z důvodu nedodržení podmínek dotačního programu</w:t>
      </w:r>
      <w:r w:rsidRPr="00E32CDC">
        <w:rPr>
          <w:rFonts w:ascii="Times New Roman" w:hAnsi="Times New Roman" w:eastAsia="Times New Roman"/>
          <w:b w:val="0"/>
        </w:rPr>
        <w:t>.</w:t>
      </w:r>
    </w:p>
    <w:p w:rsidRPr="00A14174" w:rsidR="00984476" w:rsidP="00181894" w:rsidRDefault="00984476" w14:paraId="74FDBBFA" w14:textId="77777777">
      <w:pPr>
        <w:pStyle w:val="Odstavecseseznamem"/>
        <w:numPr>
          <w:ilvl w:val="0"/>
          <w:numId w:val="14"/>
        </w:numPr>
        <w:suppressAutoHyphens/>
        <w:spacing w:before="240" w:after="120" w:line="240" w:lineRule="auto"/>
        <w:contextualSpacing w:val="0"/>
        <w:jc w:val="both"/>
        <w:rPr>
          <w:rFonts w:ascii="Times New Roman" w:hAnsi="Times New Roman"/>
          <w:b w:val="0"/>
        </w:rPr>
      </w:pPr>
      <w:r w:rsidRPr="00A31199">
        <w:rPr>
          <w:rFonts w:ascii="Times New Roman" w:hAnsi="Times New Roman" w:eastAsia="Times New Roman"/>
          <w:b w:val="0"/>
        </w:rPr>
        <w:t>S návrhem a doporučením komisí a výborů předloží centrální administrátor žádosti k projednání příslušnému orgánu kraje (včetně seznamu přijatých žádostí, žádostí doporučených k poskytnutí dotace včetně doporučení výše dotace pro jednotlivé žádosti).</w:t>
      </w:r>
      <w:r w:rsidRPr="00246189">
        <w:rPr>
          <w:rStyle w:val="Znakapoznpodarou"/>
          <w:rFonts w:ascii="Times New Roman" w:hAnsi="Times New Roman" w:eastAsia="Times New Roman"/>
          <w:b w:val="0"/>
        </w:rPr>
        <w:footnoteReference w:id="7"/>
      </w:r>
      <w:r w:rsidRPr="00A31199">
        <w:rPr>
          <w:rFonts w:ascii="Times New Roman" w:hAnsi="Times New Roman" w:eastAsia="Times New Roman"/>
          <w:b w:val="0"/>
        </w:rPr>
        <w:t xml:space="preserve"> </w:t>
      </w:r>
      <w:r w:rsidRPr="00A31199">
        <w:rPr>
          <w:rFonts w:ascii="Times New Roman" w:hAnsi="Times New Roman"/>
          <w:b w:val="0"/>
        </w:rPr>
        <w:t xml:space="preserve">U individuálních dotací centrální administrátor zajistí, že </w:t>
      </w:r>
      <w:r w:rsidRPr="00A31199">
        <w:rPr>
          <w:rFonts w:ascii="Times New Roman" w:hAnsi="Times New Roman" w:eastAsia="Times New Roman"/>
          <w:b w:val="0"/>
        </w:rPr>
        <w:t>součástí materiálu do příslušného orgánu kraje bude informace o tom, zda</w:t>
      </w:r>
      <w:r w:rsidRPr="00A14174" w:rsidR="000277EA">
        <w:rPr>
          <w:rFonts w:ascii="Times New Roman" w:hAnsi="Times New Roman" w:eastAsia="Times New Roman"/>
          <w:b w:val="0"/>
        </w:rPr>
        <w:t> </w:t>
      </w:r>
      <w:r w:rsidRPr="00A14174">
        <w:rPr>
          <w:rFonts w:ascii="Times New Roman" w:hAnsi="Times New Roman" w:eastAsia="Times New Roman"/>
          <w:b w:val="0"/>
        </w:rPr>
        <w:t xml:space="preserve">žadatel mohl podat </w:t>
      </w:r>
      <w:r w:rsidRPr="00A14174">
        <w:rPr>
          <w:rFonts w:ascii="Times New Roman" w:hAnsi="Times New Roman" w:eastAsia="Times New Roman"/>
          <w:b w:val="0"/>
        </w:rPr>
        <w:lastRenderedPageBreak/>
        <w:t>žádost do dotačního programu, resp. proč ji nepodal.</w:t>
      </w:r>
      <w:r w:rsidRPr="00A14174" w:rsidR="00E7563A">
        <w:rPr>
          <w:rFonts w:ascii="Times New Roman" w:hAnsi="Times New Roman" w:eastAsia="Times New Roman"/>
          <w:b w:val="0"/>
        </w:rPr>
        <w:t xml:space="preserve"> </w:t>
      </w:r>
      <w:r w:rsidRPr="005A3359" w:rsidR="00E7563A">
        <w:rPr>
          <w:rFonts w:ascii="Times New Roman" w:hAnsi="Times New Roman"/>
          <w:b w:val="0"/>
        </w:rPr>
        <w:t>Součástí materiálů k individuálním dotacím bude také informace o čerpání dotací daného žadatele v </w:t>
      </w:r>
      <w:r w:rsidR="00EF0830">
        <w:rPr>
          <w:rFonts w:ascii="Times New Roman" w:hAnsi="Times New Roman"/>
          <w:b w:val="0"/>
        </w:rPr>
        <w:t>posledních 5 letech</w:t>
      </w:r>
      <w:r w:rsidRPr="005A3359" w:rsidR="00E7563A">
        <w:rPr>
          <w:rFonts w:ascii="Times New Roman" w:hAnsi="Times New Roman"/>
          <w:b w:val="0"/>
        </w:rPr>
        <w:t>.</w:t>
      </w:r>
    </w:p>
    <w:p w:rsidRPr="00E32CDC" w:rsidR="00984476" w:rsidP="00181894" w:rsidRDefault="00984476" w14:paraId="6E30F4A2" w14:textId="5473660B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C14F6">
        <w:rPr>
          <w:rFonts w:ascii="Times New Roman" w:hAnsi="Times New Roman"/>
          <w:b w:val="0"/>
        </w:rPr>
        <w:t xml:space="preserve">U veškerých zpracovávaných materiálů a dokumentů centrální administrátor zajistí </w:t>
      </w:r>
      <w:proofErr w:type="spellStart"/>
      <w:r w:rsidRPr="00EC14F6">
        <w:rPr>
          <w:rFonts w:ascii="Times New Roman" w:hAnsi="Times New Roman"/>
          <w:b w:val="0"/>
        </w:rPr>
        <w:t>anonymizaci</w:t>
      </w:r>
      <w:proofErr w:type="spellEnd"/>
      <w:r w:rsidRPr="00EC14F6" w:rsidR="659FF3CA">
        <w:rPr>
          <w:rFonts w:ascii="Times New Roman" w:hAnsi="Times New Roman"/>
          <w:b w:val="0"/>
        </w:rPr>
        <w:t xml:space="preserve"> </w:t>
      </w:r>
      <w:r w:rsidRPr="00EC14F6">
        <w:rPr>
          <w:rFonts w:ascii="Times New Roman" w:hAnsi="Times New Roman"/>
          <w:b w:val="0"/>
        </w:rPr>
        <w:t xml:space="preserve">informací, které jsou </w:t>
      </w:r>
      <w:proofErr w:type="gramStart"/>
      <w:r w:rsidRPr="00EC14F6">
        <w:rPr>
          <w:rFonts w:ascii="Times New Roman" w:hAnsi="Times New Roman"/>
          <w:b w:val="0"/>
        </w:rPr>
        <w:t>z</w:t>
      </w:r>
      <w:r w:rsidRPr="00EC14F6" w:rsidR="26D150FF">
        <w:rPr>
          <w:rFonts w:ascii="Times New Roman" w:hAnsi="Times New Roman"/>
          <w:b w:val="0"/>
        </w:rPr>
        <w:t>e</w:t>
      </w:r>
      <w:proofErr w:type="gramEnd"/>
      <w:r w:rsidRPr="00EC14F6">
        <w:rPr>
          <w:rFonts w:ascii="Times New Roman" w:hAnsi="Times New Roman"/>
          <w:b w:val="0"/>
        </w:rPr>
        <w:t xml:space="preserve"> zpřístupnění vyloučeny podle zvláštního právního předpisu</w:t>
      </w:r>
      <w:r w:rsidRPr="00246189">
        <w:rPr>
          <w:rStyle w:val="Znakapoznpodarou"/>
          <w:rFonts w:ascii="Times New Roman" w:hAnsi="Times New Roman"/>
          <w:b w:val="0"/>
        </w:rPr>
        <w:footnoteReference w:id="8"/>
      </w:r>
      <w:r w:rsidRPr="00246189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Tuto podmínku pro potřeby projednání žádostí zajistí </w:t>
      </w:r>
      <w:r w:rsidRPr="00246189">
        <w:rPr>
          <w:rFonts w:ascii="Times New Roman" w:hAnsi="Times New Roman"/>
          <w:b w:val="0"/>
        </w:rPr>
        <w:t xml:space="preserve">standardizovaný výstup z </w:t>
      </w:r>
      <w:r>
        <w:rPr>
          <w:rFonts w:ascii="Times New Roman" w:hAnsi="Times New Roman"/>
          <w:b w:val="0"/>
        </w:rPr>
        <w:t xml:space="preserve">modulu VFP, který vytvoří </w:t>
      </w:r>
      <w:r w:rsidR="000D6774">
        <w:rPr>
          <w:rFonts w:ascii="Times New Roman" w:hAnsi="Times New Roman"/>
          <w:b w:val="0"/>
        </w:rPr>
        <w:t xml:space="preserve">neveřejnou </w:t>
      </w:r>
      <w:r>
        <w:rPr>
          <w:rFonts w:ascii="Times New Roman" w:hAnsi="Times New Roman"/>
          <w:b w:val="0"/>
        </w:rPr>
        <w:t>a anonymizovanou podobu dokumentu</w:t>
      </w:r>
      <w:r w:rsidRPr="00246189">
        <w:rPr>
          <w:rFonts w:ascii="Times New Roman" w:hAnsi="Times New Roman"/>
          <w:b w:val="0"/>
        </w:rPr>
        <w:t>.</w:t>
      </w:r>
    </w:p>
    <w:p w:rsidRPr="00E32CDC" w:rsidR="00984476" w:rsidP="00181894" w:rsidRDefault="00984476" w14:paraId="4FDDB63C" w14:textId="77777777">
      <w:pPr>
        <w:pStyle w:val="Odstavecseseznamem"/>
        <w:numPr>
          <w:ilvl w:val="0"/>
          <w:numId w:val="1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CE807FD">
        <w:rPr>
          <w:rFonts w:ascii="Times New Roman" w:hAnsi="Times New Roman"/>
          <w:b w:val="0"/>
        </w:rPr>
        <w:t>Žádosti, ke kterým žadatel v době od podání žádosti do doby předložení materiálu pro jednání rady kraje nebo zastupitelstva kraje podal „zpětvzetí“ žádosti, se k projednání nepředkládají. Centrální administrátor zajistí založení „zpětvzetí“ žádosti do spisové služby a storno přijaté žádosti v modulu VFP společně s poznámkou o důvodu storna žádosti.</w:t>
      </w:r>
    </w:p>
    <w:p w:rsidR="003B1EC2" w:rsidP="00181894" w:rsidRDefault="003B1EC2" w14:paraId="44E871BC" w14:textId="1DE44008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607" w:id="47"/>
    </w:p>
    <w:p w:rsidRPr="00181894" w:rsidR="00181894" w:rsidP="00181894" w:rsidRDefault="00181894" w14:paraId="5879440D" w14:textId="77777777"/>
    <w:p w:rsidRPr="005E102E" w:rsidR="00984476" w:rsidP="00181894" w:rsidRDefault="00984476" w14:paraId="0A37129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XIX.</w:t>
      </w:r>
      <w:bookmarkEnd w:id="47"/>
    </w:p>
    <w:p w:rsidRPr="005E102E" w:rsidR="00984476" w:rsidP="003A58D2" w:rsidRDefault="00984476" w14:paraId="4F26C22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8" w:id="48"/>
      <w:r w:rsidRPr="005E102E">
        <w:rPr>
          <w:b/>
          <w:sz w:val="22"/>
          <w:szCs w:val="22"/>
        </w:rPr>
        <w:t>Rozhodnutí o poskytnutí dotace a uzavření veřejnoprávní smlouvy</w:t>
      </w:r>
      <w:bookmarkEnd w:id="48"/>
    </w:p>
    <w:p w:rsidRPr="00246189" w:rsidR="00984476" w:rsidP="00181894" w:rsidRDefault="00984476" w14:paraId="03250D37" w14:textId="021343DB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Žadatelům, kterým příslušný orgán schválil poskytnutí dotace,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e-mailem</w:t>
      </w:r>
      <w:r w:rsidR="009B3BED">
        <w:rPr>
          <w:rFonts w:ascii="Times New Roman" w:hAnsi="Times New Roman"/>
          <w:b w:val="0"/>
        </w:rPr>
        <w:t>,</w:t>
      </w:r>
      <w:r w:rsidRPr="00246189">
        <w:rPr>
          <w:rFonts w:ascii="Times New Roman" w:hAnsi="Times New Roman"/>
          <w:b w:val="0"/>
        </w:rPr>
        <w:t xml:space="preserve"> </w:t>
      </w:r>
      <w:r w:rsidR="009B3BED">
        <w:rPr>
          <w:rFonts w:ascii="Times New Roman" w:hAnsi="Times New Roman"/>
          <w:b w:val="0"/>
        </w:rPr>
        <w:t>popř.</w:t>
      </w:r>
      <w:r w:rsidR="00C264E6">
        <w:rPr>
          <w:rFonts w:ascii="Times New Roman" w:hAnsi="Times New Roman"/>
          <w:b w:val="0"/>
        </w:rPr>
        <w:t> </w:t>
      </w:r>
      <w:r w:rsidR="009B3BED">
        <w:rPr>
          <w:rFonts w:ascii="Times New Roman" w:hAnsi="Times New Roman"/>
          <w:b w:val="0"/>
        </w:rPr>
        <w:t xml:space="preserve">jiným vhodným způsobem (např. výzvou k podpisu veřejnoprávní smlouvy), </w:t>
      </w:r>
      <w:r w:rsidRPr="00246189">
        <w:rPr>
          <w:rFonts w:ascii="Times New Roman" w:hAnsi="Times New Roman"/>
          <w:b w:val="0"/>
        </w:rPr>
        <w:t>sdělí ve lhůtě 15</w:t>
      </w:r>
      <w:r w:rsidR="00DB7D63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 xml:space="preserve">pracovních </w:t>
      </w:r>
      <w:r w:rsidR="009747CF">
        <w:rPr>
          <w:rFonts w:ascii="Times New Roman" w:hAnsi="Times New Roman"/>
          <w:b w:val="0"/>
        </w:rPr>
        <w:t>dnů</w:t>
      </w:r>
      <w:r w:rsidRPr="00246189" w:rsidR="009747CF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po ověření usnesení informaci, že jejich žádost o dotaci byla projednána a s jakým výsledkem.</w:t>
      </w:r>
    </w:p>
    <w:p w:rsidRPr="00246189" w:rsidR="00984476" w:rsidP="00181894" w:rsidRDefault="00984476" w14:paraId="388E625D" w14:textId="474B3C0B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Žadatelům, kterým příslušný orgán kraje schválil </w:t>
      </w:r>
      <w:r>
        <w:rPr>
          <w:rFonts w:ascii="Times New Roman" w:hAnsi="Times New Roman"/>
          <w:b w:val="0"/>
        </w:rPr>
        <w:t>ne</w:t>
      </w:r>
      <w:r w:rsidRPr="00246189">
        <w:rPr>
          <w:rFonts w:ascii="Times New Roman" w:hAnsi="Times New Roman"/>
          <w:b w:val="0"/>
        </w:rPr>
        <w:t xml:space="preserve">poskytnutí dotace, písemně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 xml:space="preserve">administrátor ve lhůtě 15 </w:t>
      </w:r>
      <w:r w:rsidR="00B46764">
        <w:rPr>
          <w:rFonts w:ascii="Times New Roman" w:hAnsi="Times New Roman"/>
          <w:b w:val="0"/>
        </w:rPr>
        <w:t xml:space="preserve">pracovních </w:t>
      </w:r>
      <w:r w:rsidR="009747CF">
        <w:rPr>
          <w:rFonts w:ascii="Times New Roman" w:hAnsi="Times New Roman"/>
          <w:b w:val="0"/>
        </w:rPr>
        <w:t>dnů</w:t>
      </w:r>
      <w:r w:rsidRPr="00246189" w:rsidR="009747CF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po ověření usnesení sdělí informaci</w:t>
      </w:r>
      <w:r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 xml:space="preserve">formou datové zprávy, </w:t>
      </w:r>
      <w:r w:rsidRPr="00246189">
        <w:rPr>
          <w:rFonts w:ascii="Times New Roman" w:hAnsi="Times New Roman"/>
          <w:b w:val="0"/>
        </w:rPr>
        <w:t>doporučený</w:t>
      </w:r>
      <w:r>
        <w:rPr>
          <w:rFonts w:ascii="Times New Roman" w:hAnsi="Times New Roman"/>
          <w:b w:val="0"/>
        </w:rPr>
        <w:t>m</w:t>
      </w:r>
      <w:r w:rsidRPr="00246189">
        <w:rPr>
          <w:rFonts w:ascii="Times New Roman" w:hAnsi="Times New Roman"/>
          <w:b w:val="0"/>
        </w:rPr>
        <w:t xml:space="preserve"> dopis</w:t>
      </w:r>
      <w:r>
        <w:rPr>
          <w:rFonts w:ascii="Times New Roman" w:hAnsi="Times New Roman"/>
          <w:b w:val="0"/>
        </w:rPr>
        <w:t>em s </w:t>
      </w:r>
      <w:r w:rsidRPr="00246189">
        <w:rPr>
          <w:rFonts w:ascii="Times New Roman" w:hAnsi="Times New Roman"/>
          <w:b w:val="0"/>
        </w:rPr>
        <w:t>doručenk</w:t>
      </w:r>
      <w:r>
        <w:rPr>
          <w:rFonts w:ascii="Times New Roman" w:hAnsi="Times New Roman"/>
          <w:b w:val="0"/>
        </w:rPr>
        <w:t>ou nebo formou osobního převzetí</w:t>
      </w:r>
      <w:r w:rsidRPr="00246189">
        <w:rPr>
          <w:rFonts w:ascii="Times New Roman" w:hAnsi="Times New Roman"/>
          <w:b w:val="0"/>
        </w:rPr>
        <w:t xml:space="preserve">), že jejich žádost o dotaci byla projednána, </w:t>
      </w:r>
      <w:r>
        <w:rPr>
          <w:rFonts w:ascii="Times New Roman" w:hAnsi="Times New Roman"/>
          <w:b w:val="0"/>
        </w:rPr>
        <w:t>dotace nebyla poskytnuta</w:t>
      </w:r>
      <w:r w:rsidRPr="00246189">
        <w:rPr>
          <w:rFonts w:ascii="Times New Roman" w:hAnsi="Times New Roman"/>
          <w:b w:val="0"/>
        </w:rPr>
        <w:t xml:space="preserve"> a důvod nevyhovění žádosti</w:t>
      </w:r>
      <w:r w:rsidR="00157503">
        <w:rPr>
          <w:rFonts w:ascii="Times New Roman" w:hAnsi="Times New Roman"/>
          <w:b w:val="0"/>
        </w:rPr>
        <w:t xml:space="preserve">, viz vzor rozhodnutí o neposkytnutí dotace </w:t>
      </w:r>
      <w:r w:rsidR="003A58D2">
        <w:rPr>
          <w:rFonts w:ascii="Times New Roman" w:hAnsi="Times New Roman"/>
          <w:b w:val="0"/>
        </w:rPr>
        <w:t>v </w:t>
      </w:r>
      <w:r w:rsidR="00692D5F">
        <w:rPr>
          <w:rFonts w:ascii="Times New Roman" w:hAnsi="Times New Roman"/>
          <w:b w:val="0"/>
        </w:rPr>
        <w:t>p</w:t>
      </w:r>
      <w:r w:rsidR="00157503">
        <w:rPr>
          <w:rFonts w:ascii="Times New Roman" w:hAnsi="Times New Roman"/>
          <w:b w:val="0"/>
        </w:rPr>
        <w:t>řílo</w:t>
      </w:r>
      <w:r w:rsidR="003A58D2">
        <w:rPr>
          <w:rFonts w:ascii="Times New Roman" w:hAnsi="Times New Roman"/>
          <w:b w:val="0"/>
        </w:rPr>
        <w:t>ze</w:t>
      </w:r>
      <w:r w:rsidR="00157503">
        <w:rPr>
          <w:rFonts w:ascii="Times New Roman" w:hAnsi="Times New Roman"/>
          <w:b w:val="0"/>
        </w:rPr>
        <w:t xml:space="preserve"> 7.</w:t>
      </w:r>
    </w:p>
    <w:p w:rsidRPr="00246189" w:rsidR="00984476" w:rsidP="00181894" w:rsidRDefault="00984476" w14:paraId="3A1618E6" w14:textId="77777777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Výsledek projednání dotace v orgánu kraje zaznamená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do modulu VFP a standardizovaný výstup ze systému GINIS v anonymizované podobě zveřejní na portálu kraje v sekci dotace.</w:t>
      </w:r>
    </w:p>
    <w:p w:rsidRPr="00246189" w:rsidR="00984476" w:rsidP="00181894" w:rsidRDefault="00984476" w14:paraId="7B9EB067" w14:textId="77777777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V případě schválených dotací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 zajistí:</w:t>
      </w:r>
    </w:p>
    <w:p w:rsidRPr="00246189" w:rsidR="00984476" w:rsidP="00181894" w:rsidRDefault="00984476" w14:paraId="4A1235CD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pokrytí žádosti rozpočtem v modulu VFP,</w:t>
      </w:r>
    </w:p>
    <w:p w:rsidRPr="00246189" w:rsidR="00984476" w:rsidP="00181894" w:rsidRDefault="00984476" w14:paraId="0DF8850B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vygenerování smlouvy v modulu VFP do modulu SML,</w:t>
      </w:r>
    </w:p>
    <w:p w:rsidRPr="00246189" w:rsidR="00984476" w:rsidP="00181894" w:rsidRDefault="00984476" w14:paraId="31AFEF06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tisk smlouvy, její kompletaci a její </w:t>
      </w:r>
      <w:r w:rsidR="00944F95">
        <w:rPr>
          <w:rFonts w:ascii="Times New Roman" w:hAnsi="Times New Roman"/>
          <w:b w:val="0"/>
        </w:rPr>
        <w:t>doručení</w:t>
      </w:r>
      <w:r w:rsidR="00BF6820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žadateli k</w:t>
      </w:r>
      <w:r w:rsidR="0084548D">
        <w:rPr>
          <w:rFonts w:ascii="Times New Roman" w:hAnsi="Times New Roman"/>
          <w:b w:val="0"/>
        </w:rPr>
        <w:t> </w:t>
      </w:r>
      <w:r w:rsidRPr="00246189">
        <w:rPr>
          <w:rFonts w:ascii="Times New Roman" w:hAnsi="Times New Roman"/>
          <w:b w:val="0"/>
        </w:rPr>
        <w:t>podpisu</w:t>
      </w:r>
      <w:r w:rsidR="0084548D">
        <w:rPr>
          <w:rFonts w:ascii="Times New Roman" w:hAnsi="Times New Roman"/>
          <w:b w:val="0"/>
        </w:rPr>
        <w:t>; to neplatí pro elektronické smlouvy</w:t>
      </w:r>
      <w:r w:rsidRPr="00246189">
        <w:rPr>
          <w:rFonts w:ascii="Times New Roman" w:hAnsi="Times New Roman"/>
          <w:b w:val="0"/>
        </w:rPr>
        <w:t>,</w:t>
      </w:r>
    </w:p>
    <w:p w:rsidRPr="00246189" w:rsidR="00984476" w:rsidP="00181894" w:rsidRDefault="00984476" w14:paraId="12F6E29E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zajištění podpisu smlouvy oprávněným zástupcem kraje,</w:t>
      </w:r>
    </w:p>
    <w:p w:rsidRPr="00246189" w:rsidR="00984476" w:rsidP="00181894" w:rsidRDefault="00984476" w14:paraId="49CD6DA8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proofErr w:type="spellStart"/>
      <w:r w:rsidRPr="00246189">
        <w:rPr>
          <w:rFonts w:ascii="Times New Roman" w:hAnsi="Times New Roman"/>
          <w:b w:val="0"/>
        </w:rPr>
        <w:t>anonymizaci</w:t>
      </w:r>
      <w:proofErr w:type="spellEnd"/>
      <w:r w:rsidRPr="00246189">
        <w:rPr>
          <w:rFonts w:ascii="Times New Roman" w:hAnsi="Times New Roman"/>
          <w:b w:val="0"/>
        </w:rPr>
        <w:t xml:space="preserve"> smlouvy a její předání do centrální evidence a případné odeslání do registru smluv</w:t>
      </w:r>
      <w:r>
        <w:rPr>
          <w:rStyle w:val="Znakapoznpodarou"/>
          <w:rFonts w:ascii="Times New Roman" w:hAnsi="Times New Roman"/>
          <w:b w:val="0"/>
        </w:rPr>
        <w:footnoteReference w:id="9"/>
      </w:r>
      <w:r w:rsidRPr="00246189">
        <w:rPr>
          <w:rFonts w:ascii="Times New Roman" w:hAnsi="Times New Roman"/>
          <w:b w:val="0"/>
        </w:rPr>
        <w:t>,</w:t>
      </w:r>
    </w:p>
    <w:p w:rsidRPr="00E32CDC" w:rsidR="00984476" w:rsidP="00181894" w:rsidRDefault="00944F95" w14:paraId="6D7BA760" w14:textId="77777777">
      <w:pPr>
        <w:pStyle w:val="Odstavecseseznamem"/>
        <w:numPr>
          <w:ilvl w:val="1"/>
          <w:numId w:val="15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doručení</w:t>
      </w:r>
      <w:r w:rsidR="00BF6820">
        <w:rPr>
          <w:rFonts w:ascii="Times New Roman" w:hAnsi="Times New Roman"/>
          <w:b w:val="0"/>
        </w:rPr>
        <w:t xml:space="preserve"> </w:t>
      </w:r>
      <w:r w:rsidRPr="00E32CDC" w:rsidR="00984476">
        <w:rPr>
          <w:rFonts w:ascii="Times New Roman" w:hAnsi="Times New Roman"/>
          <w:b w:val="0"/>
        </w:rPr>
        <w:t>podepsané smlouvy žadateli (příjemci).</w:t>
      </w:r>
    </w:p>
    <w:p w:rsidRPr="0085409D" w:rsidR="00984476" w:rsidP="00181894" w:rsidRDefault="00984476" w14:paraId="73857017" w14:textId="5BF96FD0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85409D">
        <w:rPr>
          <w:rFonts w:ascii="Times New Roman" w:hAnsi="Times New Roman"/>
          <w:b w:val="0"/>
        </w:rPr>
        <w:t>dministrátor je povinen upravit text veřejnoprávní smlouvy tak, aby byl v</w:t>
      </w:r>
      <w:r w:rsidR="0084548D">
        <w:rPr>
          <w:rFonts w:ascii="Times New Roman" w:hAnsi="Times New Roman"/>
          <w:b w:val="0"/>
        </w:rPr>
        <w:t> </w:t>
      </w:r>
      <w:r w:rsidRPr="0085409D">
        <w:rPr>
          <w:rFonts w:ascii="Times New Roman" w:hAnsi="Times New Roman"/>
          <w:b w:val="0"/>
        </w:rPr>
        <w:t>souladu i</w:t>
      </w:r>
      <w:r w:rsidR="00C264E6">
        <w:rPr>
          <w:rFonts w:ascii="Times New Roman" w:hAnsi="Times New Roman"/>
          <w:b w:val="0"/>
        </w:rPr>
        <w:t> </w:t>
      </w:r>
      <w:r w:rsidRPr="0085409D">
        <w:rPr>
          <w:rFonts w:ascii="Times New Roman" w:hAnsi="Times New Roman"/>
          <w:b w:val="0"/>
        </w:rPr>
        <w:t>se</w:t>
      </w:r>
      <w:r w:rsidR="00C264E6">
        <w:rPr>
          <w:rFonts w:ascii="Times New Roman" w:hAnsi="Times New Roman"/>
          <w:b w:val="0"/>
        </w:rPr>
        <w:t> </w:t>
      </w:r>
      <w:r w:rsidRPr="0085409D">
        <w:rPr>
          <w:rFonts w:ascii="Times New Roman" w:hAnsi="Times New Roman"/>
          <w:b w:val="0"/>
        </w:rPr>
        <w:t>zvláštními právními předpisy platnými pro oblast, do které dotace směřuje.</w:t>
      </w:r>
    </w:p>
    <w:p w:rsidR="00984476" w:rsidP="00181894" w:rsidRDefault="00984476" w14:paraId="004AFE39" w14:textId="77777777">
      <w:pPr>
        <w:pStyle w:val="Odstavecseseznamem"/>
        <w:numPr>
          <w:ilvl w:val="0"/>
          <w:numId w:val="1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/>
          <w:b w:val="0"/>
        </w:rPr>
        <w:t>Při uzavírání a administraci veřejnoprávní smlouvy vč</w:t>
      </w:r>
      <w:r>
        <w:rPr>
          <w:rFonts w:ascii="Times New Roman" w:hAnsi="Times New Roman"/>
          <w:b w:val="0"/>
        </w:rPr>
        <w:t>etně</w:t>
      </w:r>
      <w:r w:rsidRPr="00EC14F6">
        <w:rPr>
          <w:rFonts w:ascii="Times New Roman" w:hAnsi="Times New Roman"/>
          <w:b w:val="0"/>
        </w:rPr>
        <w:t xml:space="preserve"> jejího uveřejnění na úřední desce</w:t>
      </w:r>
      <w:r w:rsidR="00C13504">
        <w:rPr>
          <w:rStyle w:val="Znakapoznpodarou"/>
          <w:rFonts w:ascii="Times New Roman" w:hAnsi="Times New Roman"/>
          <w:b w:val="0"/>
        </w:rPr>
        <w:t>7</w:t>
      </w:r>
      <w:r w:rsidRPr="00246189" w:rsidR="00C13504">
        <w:rPr>
          <w:rFonts w:ascii="Times New Roman" w:hAnsi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 xml:space="preserve">postupuje </w:t>
      </w:r>
      <w:r>
        <w:rPr>
          <w:rFonts w:ascii="Times New Roman" w:hAnsi="Times New Roman"/>
          <w:b w:val="0"/>
        </w:rPr>
        <w:t xml:space="preserve">centrální </w:t>
      </w:r>
      <w:r w:rsidRPr="00246189">
        <w:rPr>
          <w:rFonts w:ascii="Times New Roman" w:hAnsi="Times New Roman"/>
          <w:b w:val="0"/>
        </w:rPr>
        <w:t>administrátor</w:t>
      </w:r>
      <w:r w:rsidRPr="00E32CDC">
        <w:rPr>
          <w:rFonts w:ascii="Times New Roman" w:hAnsi="Times New Roman" w:eastAsia="Times New Roman"/>
          <w:b w:val="0"/>
        </w:rPr>
        <w:t xml:space="preserve"> v</w:t>
      </w:r>
      <w:r w:rsidR="0084548D"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>souladu s</w:t>
      </w:r>
      <w:r w:rsidR="0084548D"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 xml:space="preserve">vnitřními předpisy pro uzavírání </w:t>
      </w:r>
      <w:r w:rsidRPr="00E32CDC" w:rsidR="00C13504">
        <w:rPr>
          <w:rFonts w:ascii="Times New Roman" w:hAnsi="Times New Roman" w:eastAsia="Times New Roman"/>
          <w:b w:val="0"/>
        </w:rPr>
        <w:t>smluv</w:t>
      </w:r>
      <w:r w:rsidR="00C13504">
        <w:rPr>
          <w:rStyle w:val="Znakapoznpodarou"/>
          <w:rFonts w:ascii="Times New Roman" w:hAnsi="Times New Roman" w:eastAsia="Times New Roman"/>
          <w:b w:val="0"/>
        </w:rPr>
        <w:t>8</w:t>
      </w:r>
      <w:r w:rsidRPr="00246189" w:rsidR="00C13504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 w:eastAsia="Times New Roman"/>
          <w:b w:val="0"/>
        </w:rPr>
        <w:t>a řídící kontrol</w:t>
      </w:r>
      <w:r>
        <w:rPr>
          <w:rFonts w:ascii="Times New Roman" w:hAnsi="Times New Roman" w:eastAsia="Times New Roman"/>
          <w:b w:val="0"/>
        </w:rPr>
        <w:t>o</w:t>
      </w:r>
      <w:r w:rsidRPr="00246189">
        <w:rPr>
          <w:rFonts w:ascii="Times New Roman" w:hAnsi="Times New Roman" w:eastAsia="Times New Roman"/>
          <w:b w:val="0"/>
        </w:rPr>
        <w:t>u</w:t>
      </w:r>
      <w:r w:rsidRPr="00246189">
        <w:rPr>
          <w:rStyle w:val="Znakapoznpodarou"/>
          <w:rFonts w:ascii="Times New Roman" w:hAnsi="Times New Roman" w:eastAsia="Times New Roman"/>
          <w:b w:val="0"/>
        </w:rPr>
        <w:footnoteReference w:id="10"/>
      </w:r>
      <w:r w:rsidRPr="00246189">
        <w:rPr>
          <w:rFonts w:ascii="Times New Roman" w:hAnsi="Times New Roman" w:eastAsia="Times New Roman"/>
          <w:b w:val="0"/>
        </w:rPr>
        <w:t>.</w:t>
      </w:r>
    </w:p>
    <w:p w:rsidR="003B1EC2" w:rsidP="00181894" w:rsidRDefault="003B1EC2" w14:paraId="144A5D23" w14:textId="060B9B64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="00181894" w:rsidP="00181894" w:rsidRDefault="00181894" w14:paraId="0654FEBC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E102E" w:rsidR="00984476" w:rsidP="00181894" w:rsidRDefault="00984476" w14:paraId="57F309B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09" w:id="49"/>
      <w:r w:rsidRPr="005E102E">
        <w:rPr>
          <w:b/>
          <w:sz w:val="22"/>
          <w:szCs w:val="22"/>
        </w:rPr>
        <w:lastRenderedPageBreak/>
        <w:t>Článek XX.</w:t>
      </w:r>
      <w:bookmarkEnd w:id="49"/>
    </w:p>
    <w:p w:rsidRPr="005E102E" w:rsidR="00984476" w:rsidP="00181894" w:rsidRDefault="00984476" w14:paraId="7582E73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0" w:id="50"/>
      <w:r w:rsidRPr="005E102E">
        <w:rPr>
          <w:b/>
          <w:sz w:val="22"/>
          <w:szCs w:val="22"/>
        </w:rPr>
        <w:t>Vyplácení finančních prostředků</w:t>
      </w:r>
      <w:bookmarkEnd w:id="50"/>
    </w:p>
    <w:p w:rsidRPr="00E32CDC" w:rsidR="00984476" w:rsidP="00181894" w:rsidRDefault="00984476" w14:paraId="4D057501" w14:textId="77777777">
      <w:pPr>
        <w:pStyle w:val="Odstavecseseznamem"/>
        <w:numPr>
          <w:ilvl w:val="0"/>
          <w:numId w:val="1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E32CDC">
        <w:rPr>
          <w:rFonts w:ascii="Times New Roman" w:hAnsi="Times New Roman"/>
          <w:b w:val="0"/>
        </w:rPr>
        <w:t>dministrátor na základě podepsané smlouvy s</w:t>
      </w:r>
      <w:r w:rsidR="0084548D"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>příjemcem zajistí</w:t>
      </w:r>
      <w:r>
        <w:rPr>
          <w:rFonts w:ascii="Times New Roman" w:hAnsi="Times New Roman"/>
          <w:b w:val="0"/>
        </w:rPr>
        <w:t xml:space="preserve"> a zodpovídá za</w:t>
      </w:r>
      <w:r w:rsidRPr="00E32CDC">
        <w:rPr>
          <w:rFonts w:ascii="Times New Roman" w:hAnsi="Times New Roman"/>
          <w:b w:val="0"/>
        </w:rPr>
        <w:t>:</w:t>
      </w:r>
    </w:p>
    <w:p w:rsidRPr="00246189" w:rsidR="00984476" w:rsidP="00181894" w:rsidRDefault="0087667A" w14:paraId="7AEA37E5" w14:textId="68764EFE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tisk</w:t>
      </w:r>
      <w:r w:rsidRPr="00E32CDC">
        <w:rPr>
          <w:rFonts w:ascii="Times New Roman" w:hAnsi="Times New Roman"/>
          <w:b w:val="0"/>
        </w:rPr>
        <w:t xml:space="preserve"> </w:t>
      </w:r>
      <w:r w:rsidRPr="00E32CDC" w:rsidR="00984476">
        <w:rPr>
          <w:rFonts w:ascii="Times New Roman" w:hAnsi="Times New Roman"/>
          <w:b w:val="0"/>
        </w:rPr>
        <w:t>výdajového poukazu</w:t>
      </w:r>
      <w:r w:rsidRPr="00246189" w:rsidR="00984476">
        <w:rPr>
          <w:rStyle w:val="Znakapoznpodarou"/>
          <w:rFonts w:ascii="Times New Roman" w:hAnsi="Times New Roman"/>
          <w:b w:val="0"/>
        </w:rPr>
        <w:footnoteReference w:id="11"/>
      </w:r>
      <w:r w:rsidR="0084548D">
        <w:rPr>
          <w:rFonts w:ascii="Times New Roman" w:hAnsi="Times New Roman"/>
          <w:b w:val="0"/>
        </w:rPr>
        <w:t>; to neplatí pro elektronické poukazy</w:t>
      </w:r>
      <w:r w:rsidRPr="00246189" w:rsidR="00984476">
        <w:rPr>
          <w:rFonts w:ascii="Times New Roman" w:hAnsi="Times New Roman"/>
          <w:b w:val="0"/>
        </w:rPr>
        <w:t>,</w:t>
      </w:r>
    </w:p>
    <w:p w:rsidR="00984476" w:rsidP="00181894" w:rsidRDefault="00984476" w14:paraId="07E71C8D" w14:textId="77777777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generování poukazu v modulu SML.</w:t>
      </w:r>
    </w:p>
    <w:p w:rsidRPr="00E32CDC" w:rsidR="00984476" w:rsidP="00181894" w:rsidRDefault="00984476" w14:paraId="7D9DD430" w14:textId="77777777">
      <w:pPr>
        <w:pStyle w:val="Odstavecseseznamem"/>
        <w:numPr>
          <w:ilvl w:val="0"/>
          <w:numId w:val="1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Příkazcem operace je vedoucí příslušného odboru na základě předchozího schválení poskytnutí dotace orgánem kraje.</w:t>
      </w:r>
    </w:p>
    <w:p w:rsidRPr="00E32CDC" w:rsidR="00984476" w:rsidP="00181894" w:rsidRDefault="00984476" w14:paraId="1D39B250" w14:textId="77777777">
      <w:pPr>
        <w:pStyle w:val="Odstavecseseznamem"/>
        <w:numPr>
          <w:ilvl w:val="0"/>
          <w:numId w:val="16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Odbor finanční zajistí</w:t>
      </w:r>
      <w:r>
        <w:rPr>
          <w:rFonts w:ascii="Times New Roman" w:hAnsi="Times New Roman"/>
          <w:b w:val="0"/>
        </w:rPr>
        <w:t xml:space="preserve"> a zodpovídá za</w:t>
      </w:r>
      <w:r w:rsidRPr="00E32CDC">
        <w:rPr>
          <w:rFonts w:ascii="Times New Roman" w:hAnsi="Times New Roman"/>
          <w:b w:val="0"/>
        </w:rPr>
        <w:t>:</w:t>
      </w:r>
    </w:p>
    <w:p w:rsidRPr="00E32CDC" w:rsidR="00984476" w:rsidP="004F0239" w:rsidRDefault="00984476" w14:paraId="79755F4B" w14:textId="77777777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kontrolu souladu výdajového poukazu s údaji uzavřené smlouvy,</w:t>
      </w:r>
    </w:p>
    <w:p w:rsidR="00984476" w:rsidP="004F0239" w:rsidRDefault="00984476" w14:paraId="40AA88EE" w14:textId="77777777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 xml:space="preserve">bezhotovostní proplacení </w:t>
      </w:r>
      <w:r w:rsidR="00502D5B">
        <w:rPr>
          <w:rFonts w:ascii="Times New Roman" w:hAnsi="Times New Roman"/>
          <w:b w:val="0"/>
        </w:rPr>
        <w:t xml:space="preserve">výdajového </w:t>
      </w:r>
      <w:r w:rsidRPr="00E32CDC">
        <w:rPr>
          <w:rFonts w:ascii="Times New Roman" w:hAnsi="Times New Roman"/>
          <w:b w:val="0"/>
        </w:rPr>
        <w:t>poukazu.</w:t>
      </w:r>
    </w:p>
    <w:p w:rsidR="00096A66" w:rsidP="00181894" w:rsidRDefault="00096A66" w14:paraId="738610EB" w14:textId="314ADF24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="00823E1C" w:rsidP="00181894" w:rsidRDefault="00823E1C" w14:paraId="205F2D50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93828" w:rsidR="00181894" w:rsidP="00181894" w:rsidRDefault="00181894" w14:paraId="504B2F17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E102E" w:rsidR="00984476" w:rsidP="00181894" w:rsidRDefault="00984476" w14:paraId="2606B7B7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bookmarkStart w:name="_Toc526920611" w:id="51"/>
      <w:r w:rsidRPr="005E102E">
        <w:rPr>
          <w:b/>
          <w:i/>
          <w:sz w:val="22"/>
          <w:szCs w:val="22"/>
        </w:rPr>
        <w:t>Část šestá</w:t>
      </w:r>
      <w:bookmarkEnd w:id="51"/>
    </w:p>
    <w:p w:rsidRPr="00452CA4" w:rsidR="00984476" w:rsidP="00181894" w:rsidRDefault="00984476" w14:paraId="5C46E0AE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612" w:id="52"/>
      <w:r w:rsidRPr="00452CA4">
        <w:rPr>
          <w:b/>
          <w:caps/>
          <w:sz w:val="22"/>
          <w:szCs w:val="22"/>
        </w:rPr>
        <w:t>Finanční vypořádání, kontrola a monitoring dotací – společná část</w:t>
      </w:r>
      <w:bookmarkEnd w:id="52"/>
    </w:p>
    <w:p w:rsidR="00181894" w:rsidP="00181894" w:rsidRDefault="00181894" w14:paraId="7ADFFD5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5" w:id="53"/>
    </w:p>
    <w:p w:rsidRPr="005E102E" w:rsidR="00984476" w:rsidP="00181894" w:rsidRDefault="00984476" w14:paraId="1C47C859" w14:textId="6F5A6BA1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Článek XXI.</w:t>
      </w:r>
      <w:bookmarkEnd w:id="53"/>
    </w:p>
    <w:p w:rsidRPr="005E102E" w:rsidR="00984476" w:rsidP="00181894" w:rsidRDefault="00984476" w14:paraId="766DBC4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6" w:id="54"/>
      <w:r w:rsidRPr="005E102E">
        <w:rPr>
          <w:b/>
          <w:sz w:val="22"/>
          <w:szCs w:val="22"/>
        </w:rPr>
        <w:t>Finanční vypořádání dotace</w:t>
      </w:r>
      <w:bookmarkEnd w:id="54"/>
    </w:p>
    <w:p w:rsidRPr="0085409D" w:rsidR="00984476" w:rsidP="00181894" w:rsidRDefault="008D30C1" w14:paraId="373C7A44" w14:textId="77777777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D30C1">
        <w:rPr>
          <w:rFonts w:ascii="Times New Roman" w:hAnsi="Times New Roman"/>
          <w:b w:val="0"/>
        </w:rPr>
        <w:t>Dotace, která podléhá finančnímu vypořádání, se vypořádává způsobem a v termínech uvedených ve smlouvě. Dotaci vypořádává centrální administrátor.</w:t>
      </w:r>
    </w:p>
    <w:p w:rsidRPr="003421CA" w:rsidR="003421CA" w:rsidP="00181894" w:rsidRDefault="00984476" w14:paraId="784233FC" w14:textId="35748D1F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Centrální a</w:t>
      </w:r>
      <w:r w:rsidRPr="0085409D">
        <w:rPr>
          <w:rFonts w:ascii="Times New Roman" w:hAnsi="Times New Roman" w:eastAsia="Times New Roman"/>
          <w:b w:val="0"/>
        </w:rPr>
        <w:t xml:space="preserve">dministrátor provede administrativní kontrolu </w:t>
      </w:r>
      <w:r w:rsidRPr="0085409D" w:rsidR="00505981">
        <w:rPr>
          <w:rFonts w:ascii="Times New Roman" w:hAnsi="Times New Roman" w:eastAsia="Times New Roman"/>
          <w:b w:val="0"/>
        </w:rPr>
        <w:t>doručen</w:t>
      </w:r>
      <w:r w:rsidR="00505981">
        <w:rPr>
          <w:rFonts w:ascii="Times New Roman" w:hAnsi="Times New Roman" w:eastAsia="Times New Roman"/>
          <w:b w:val="0"/>
        </w:rPr>
        <w:t>ého</w:t>
      </w:r>
      <w:r w:rsidRPr="0085409D" w:rsidR="00505981">
        <w:rPr>
          <w:rFonts w:ascii="Times New Roman" w:hAnsi="Times New Roman" w:eastAsia="Times New Roman"/>
          <w:b w:val="0"/>
        </w:rPr>
        <w:t xml:space="preserve"> finanční</w:t>
      </w:r>
      <w:r w:rsidR="00505981">
        <w:rPr>
          <w:rFonts w:ascii="Times New Roman" w:hAnsi="Times New Roman" w:eastAsia="Times New Roman"/>
          <w:b w:val="0"/>
        </w:rPr>
        <w:t xml:space="preserve">ho </w:t>
      </w:r>
      <w:r w:rsidRPr="0085409D">
        <w:rPr>
          <w:rFonts w:ascii="Times New Roman" w:hAnsi="Times New Roman" w:eastAsia="Times New Roman"/>
          <w:b w:val="0"/>
        </w:rPr>
        <w:t>vypořádání dotace.</w:t>
      </w:r>
      <w:r>
        <w:rPr>
          <w:rFonts w:ascii="Times New Roman" w:hAnsi="Times New Roman" w:eastAsia="Times New Roman"/>
          <w:b w:val="0"/>
        </w:rPr>
        <w:t xml:space="preserve"> V případě nejasností si vyžádá odborné stanovisko od příslušného odboru k přípustnosti nebo</w:t>
      </w:r>
      <w:r w:rsidR="00C264E6">
        <w:rPr>
          <w:rFonts w:ascii="Times New Roman" w:hAnsi="Times New Roman" w:eastAsia="Times New Roman"/>
          <w:b w:val="0"/>
        </w:rPr>
        <w:t> </w:t>
      </w:r>
      <w:r w:rsidRPr="003421CA">
        <w:rPr>
          <w:rFonts w:ascii="Times New Roman" w:hAnsi="Times New Roman"/>
          <w:b w:val="0"/>
        </w:rPr>
        <w:t>uznatelnosti výdajů uvedených ve finančním vypořádání.</w:t>
      </w:r>
      <w:r w:rsidR="003421CA">
        <w:rPr>
          <w:rFonts w:ascii="Times New Roman" w:hAnsi="Times New Roman"/>
          <w:b w:val="0"/>
        </w:rPr>
        <w:t xml:space="preserve"> </w:t>
      </w:r>
    </w:p>
    <w:p w:rsidRPr="00EF484B" w:rsidR="00984476" w:rsidP="00181894" w:rsidRDefault="00984476" w14:paraId="58C1CC1B" w14:textId="3DCDF28E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5409D">
        <w:rPr>
          <w:rFonts w:ascii="Times New Roman" w:hAnsi="Times New Roman" w:eastAsia="Times New Roman"/>
          <w:b w:val="0"/>
        </w:rPr>
        <w:t xml:space="preserve">V případě, že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85409D">
        <w:rPr>
          <w:rFonts w:ascii="Times New Roman" w:hAnsi="Times New Roman" w:eastAsia="Times New Roman"/>
          <w:b w:val="0"/>
        </w:rPr>
        <w:t>administrátor zjistí, že finanční vypořádání dotace obsahuje odstranitelné nedostatky (porušení povinnosti méně závažným způsobem), bez zbytečného odkladu vyzve</w:t>
      </w:r>
      <w:bookmarkStart w:name="_Ref132962485" w:id="55"/>
      <w:r w:rsidRPr="00246189">
        <w:rPr>
          <w:rStyle w:val="Znakapoznpodarou"/>
          <w:rFonts w:ascii="Times New Roman" w:hAnsi="Times New Roman" w:eastAsia="Times New Roman"/>
          <w:b w:val="0"/>
        </w:rPr>
        <w:footnoteReference w:id="12"/>
      </w:r>
      <w:bookmarkEnd w:id="55"/>
      <w:r w:rsidRPr="00246189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/>
          <w:b w:val="0"/>
        </w:rPr>
        <w:t>elektronicky prostřednictvím elektronické p</w:t>
      </w:r>
      <w:r w:rsidRPr="00E32CDC">
        <w:rPr>
          <w:rFonts w:ascii="Times New Roman" w:hAnsi="Times New Roman"/>
          <w:b w:val="0"/>
        </w:rPr>
        <w:t xml:space="preserve">ošty </w:t>
      </w:r>
      <w:r>
        <w:rPr>
          <w:rFonts w:ascii="Times New Roman" w:hAnsi="Times New Roman" w:eastAsia="Times New Roman"/>
          <w:b w:val="0"/>
        </w:rPr>
        <w:t>příjemce</w:t>
      </w:r>
      <w:r w:rsidRPr="00E32CDC">
        <w:rPr>
          <w:rFonts w:ascii="Times New Roman" w:hAnsi="Times New Roman" w:eastAsia="Times New Roman"/>
          <w:b w:val="0"/>
        </w:rPr>
        <w:t xml:space="preserve"> k provedení opatření k nápravě. </w:t>
      </w:r>
      <w:r w:rsidRPr="00E32CDC">
        <w:rPr>
          <w:rFonts w:ascii="Times New Roman" w:hAnsi="Times New Roman"/>
          <w:b w:val="0"/>
        </w:rPr>
        <w:t xml:space="preserve">Výzvu učiní s tím, že si vyžádá potvrzení přijetí této výzvy. V případě, že </w:t>
      </w:r>
      <w:r w:rsidR="009720EB">
        <w:rPr>
          <w:rFonts w:ascii="Times New Roman" w:hAnsi="Times New Roman"/>
          <w:b w:val="0"/>
        </w:rPr>
        <w:t>příjemce</w:t>
      </w:r>
      <w:r w:rsidRPr="00E32CDC" w:rsidR="009720EB">
        <w:rPr>
          <w:rFonts w:ascii="Times New Roman" w:hAnsi="Times New Roman"/>
          <w:b w:val="0"/>
        </w:rPr>
        <w:t xml:space="preserve"> </w:t>
      </w:r>
      <w:r w:rsidRPr="00E32CDC">
        <w:rPr>
          <w:rFonts w:ascii="Times New Roman" w:hAnsi="Times New Roman"/>
          <w:b w:val="0"/>
        </w:rPr>
        <w:t xml:space="preserve">přijetí elektronické výzvy </w:t>
      </w:r>
      <w:r>
        <w:rPr>
          <w:rFonts w:ascii="Times New Roman" w:hAnsi="Times New Roman"/>
          <w:b w:val="0"/>
        </w:rPr>
        <w:t>do 3 </w:t>
      </w:r>
      <w:r w:rsidRPr="00E32CDC">
        <w:rPr>
          <w:rFonts w:ascii="Times New Roman" w:hAnsi="Times New Roman"/>
          <w:b w:val="0"/>
        </w:rPr>
        <w:t xml:space="preserve">pracovních </w:t>
      </w:r>
      <w:r w:rsidR="009747CF">
        <w:rPr>
          <w:rFonts w:ascii="Times New Roman" w:hAnsi="Times New Roman"/>
          <w:b w:val="0"/>
        </w:rPr>
        <w:t>dnů</w:t>
      </w:r>
      <w:r w:rsidRPr="00E32CDC" w:rsidR="009747CF">
        <w:rPr>
          <w:rFonts w:ascii="Times New Roman" w:hAnsi="Times New Roman"/>
          <w:b w:val="0"/>
        </w:rPr>
        <w:t xml:space="preserve"> </w:t>
      </w:r>
      <w:r w:rsidRPr="00E32CDC">
        <w:rPr>
          <w:rFonts w:ascii="Times New Roman" w:hAnsi="Times New Roman"/>
          <w:b w:val="0"/>
        </w:rPr>
        <w:t xml:space="preserve">nepotvrdí, odešle </w:t>
      </w:r>
      <w:r>
        <w:rPr>
          <w:rFonts w:ascii="Times New Roman" w:hAnsi="Times New Roman"/>
          <w:b w:val="0"/>
        </w:rPr>
        <w:t xml:space="preserve">centrální </w:t>
      </w:r>
      <w:r w:rsidRPr="00E32CDC">
        <w:rPr>
          <w:rFonts w:ascii="Times New Roman" w:hAnsi="Times New Roman"/>
          <w:b w:val="0"/>
        </w:rPr>
        <w:t>administrátor výzvu písemně (</w:t>
      </w:r>
      <w:r>
        <w:rPr>
          <w:rFonts w:ascii="Times New Roman" w:hAnsi="Times New Roman"/>
          <w:b w:val="0"/>
        </w:rPr>
        <w:t xml:space="preserve">datovou zprávou, </w:t>
      </w:r>
      <w:r w:rsidRPr="00E32CDC">
        <w:rPr>
          <w:rFonts w:ascii="Times New Roman" w:hAnsi="Times New Roman"/>
          <w:b w:val="0"/>
        </w:rPr>
        <w:t>doporučený</w:t>
      </w:r>
      <w:r>
        <w:rPr>
          <w:rFonts w:ascii="Times New Roman" w:hAnsi="Times New Roman"/>
          <w:b w:val="0"/>
        </w:rPr>
        <w:t>m</w:t>
      </w:r>
      <w:r w:rsidRPr="00E32CDC">
        <w:rPr>
          <w:rFonts w:ascii="Times New Roman" w:hAnsi="Times New Roman"/>
          <w:b w:val="0"/>
        </w:rPr>
        <w:t xml:space="preserve"> dopis</w:t>
      </w:r>
      <w:r>
        <w:rPr>
          <w:rFonts w:ascii="Times New Roman" w:hAnsi="Times New Roman"/>
          <w:b w:val="0"/>
        </w:rPr>
        <w:t>em s </w:t>
      </w:r>
      <w:r w:rsidRPr="00E32CDC">
        <w:rPr>
          <w:rFonts w:ascii="Times New Roman" w:hAnsi="Times New Roman"/>
          <w:b w:val="0"/>
        </w:rPr>
        <w:t>doručenk</w:t>
      </w:r>
      <w:r>
        <w:rPr>
          <w:rFonts w:ascii="Times New Roman" w:hAnsi="Times New Roman"/>
          <w:b w:val="0"/>
        </w:rPr>
        <w:t>ou nebo formou osobního převzetí</w:t>
      </w:r>
      <w:r w:rsidRPr="00E32CDC">
        <w:rPr>
          <w:rFonts w:ascii="Times New Roman" w:hAnsi="Times New Roman"/>
          <w:b w:val="0"/>
        </w:rPr>
        <w:t xml:space="preserve">). </w:t>
      </w:r>
      <w:r w:rsidRPr="00E32CDC">
        <w:rPr>
          <w:rFonts w:ascii="Times New Roman" w:hAnsi="Times New Roman" w:eastAsia="Times New Roman"/>
          <w:b w:val="0"/>
        </w:rPr>
        <w:t>Ve</w:t>
      </w:r>
      <w:r>
        <w:rPr>
          <w:rFonts w:ascii="Times New Roman" w:hAnsi="Times New Roman" w:eastAsia="Times New Roman"/>
          <w:b w:val="0"/>
        </w:rPr>
        <w:t> </w:t>
      </w:r>
      <w:r w:rsidRPr="00E32CDC">
        <w:rPr>
          <w:rFonts w:ascii="Times New Roman" w:hAnsi="Times New Roman" w:eastAsia="Times New Roman"/>
          <w:b w:val="0"/>
        </w:rPr>
        <w:t xml:space="preserve">výzvě určí </w:t>
      </w:r>
      <w:r w:rsidRPr="0085409D">
        <w:rPr>
          <w:rFonts w:ascii="Times New Roman" w:hAnsi="Times New Roman" w:eastAsia="Times New Roman"/>
          <w:b w:val="0"/>
        </w:rPr>
        <w:t xml:space="preserve">příjemci lhůtu </w:t>
      </w:r>
      <w:r>
        <w:rPr>
          <w:rFonts w:ascii="Times New Roman" w:hAnsi="Times New Roman" w:eastAsia="Times New Roman"/>
          <w:b w:val="0"/>
        </w:rPr>
        <w:t>10</w:t>
      </w:r>
      <w:r w:rsidR="00C264E6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>pracovních</w:t>
      </w:r>
      <w:r w:rsidRPr="0085409D">
        <w:rPr>
          <w:rFonts w:ascii="Times New Roman" w:hAnsi="Times New Roman" w:eastAsia="Times New Roman"/>
          <w:b w:val="0"/>
        </w:rPr>
        <w:t xml:space="preserve"> </w:t>
      </w:r>
      <w:r w:rsidR="009747CF">
        <w:rPr>
          <w:rFonts w:ascii="Times New Roman" w:hAnsi="Times New Roman" w:eastAsia="Times New Roman"/>
          <w:b w:val="0"/>
        </w:rPr>
        <w:t>dnů</w:t>
      </w:r>
      <w:r w:rsidRPr="0085409D" w:rsidR="009747CF">
        <w:rPr>
          <w:rFonts w:ascii="Times New Roman" w:hAnsi="Times New Roman" w:eastAsia="Times New Roman"/>
          <w:b w:val="0"/>
        </w:rPr>
        <w:t xml:space="preserve"> </w:t>
      </w:r>
      <w:r w:rsidRPr="0085409D">
        <w:rPr>
          <w:rFonts w:ascii="Times New Roman" w:hAnsi="Times New Roman" w:eastAsia="Times New Roman"/>
          <w:b w:val="0"/>
        </w:rPr>
        <w:t xml:space="preserve">k provedení opatření k nápravě od jejího doručení. V rozsahu, v jakém příjemce provedl opatření k nápravě, platí, že nedošlo k porušení rozpočtové kázně. </w:t>
      </w:r>
      <w:r w:rsidRPr="0085409D">
        <w:rPr>
          <w:rFonts w:ascii="Times New Roman" w:hAnsi="Times New Roman"/>
          <w:b w:val="0"/>
        </w:rPr>
        <w:t xml:space="preserve">V případě, že </w:t>
      </w:r>
      <w:r w:rsidR="001C7D74">
        <w:rPr>
          <w:rFonts w:ascii="Times New Roman" w:hAnsi="Times New Roman"/>
          <w:b w:val="0"/>
        </w:rPr>
        <w:t>příjemce</w:t>
      </w:r>
      <w:r w:rsidRPr="0085409D" w:rsidR="001C7D74">
        <w:rPr>
          <w:rFonts w:ascii="Times New Roman" w:hAnsi="Times New Roman"/>
          <w:b w:val="0"/>
        </w:rPr>
        <w:t xml:space="preserve"> </w:t>
      </w:r>
      <w:r w:rsidRPr="0085409D">
        <w:rPr>
          <w:rFonts w:ascii="Times New Roman" w:hAnsi="Times New Roman"/>
          <w:b w:val="0"/>
        </w:rPr>
        <w:t xml:space="preserve">zjištěné nedostatky neodstraní v dané lhůtě, </w:t>
      </w:r>
      <w:r>
        <w:rPr>
          <w:rFonts w:ascii="Times New Roman" w:hAnsi="Times New Roman"/>
          <w:b w:val="0"/>
        </w:rPr>
        <w:t xml:space="preserve">centrální </w:t>
      </w:r>
      <w:r w:rsidRPr="0085409D">
        <w:rPr>
          <w:rFonts w:ascii="Times New Roman" w:hAnsi="Times New Roman"/>
          <w:b w:val="0"/>
        </w:rPr>
        <w:t>administrátor</w:t>
      </w:r>
      <w:r w:rsidRPr="0085409D" w:rsidR="23C050C3">
        <w:rPr>
          <w:rFonts w:ascii="Times New Roman" w:hAnsi="Times New Roman"/>
          <w:b w:val="0"/>
        </w:rPr>
        <w:t xml:space="preserve"> </w:t>
      </w:r>
      <w:r w:rsidRPr="0085409D">
        <w:rPr>
          <w:rFonts w:ascii="Times New Roman" w:hAnsi="Times New Roman"/>
          <w:b w:val="0"/>
        </w:rPr>
        <w:t>tuto skutečnost zaznamená do </w:t>
      </w:r>
      <w:r w:rsidR="001C7D74">
        <w:rPr>
          <w:rFonts w:ascii="Times New Roman" w:hAnsi="Times New Roman"/>
          <w:b w:val="0"/>
        </w:rPr>
        <w:t>spisové služby</w:t>
      </w:r>
      <w:r w:rsidRPr="0085409D">
        <w:rPr>
          <w:rFonts w:ascii="Times New Roman" w:hAnsi="Times New Roman"/>
          <w:b w:val="0"/>
        </w:rPr>
        <w:t>.</w:t>
      </w:r>
    </w:p>
    <w:p w:rsidR="00BA3C71" w:rsidP="00181894" w:rsidRDefault="00984476" w14:paraId="69E3FC7A" w14:textId="3E143CA4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5409D">
        <w:rPr>
          <w:rFonts w:ascii="Times New Roman" w:hAnsi="Times New Roman" w:eastAsia="Times New Roman"/>
          <w:b w:val="0"/>
        </w:rPr>
        <w:t xml:space="preserve">V případě, že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85409D">
        <w:rPr>
          <w:rFonts w:ascii="Times New Roman" w:hAnsi="Times New Roman" w:eastAsia="Times New Roman"/>
          <w:b w:val="0"/>
        </w:rPr>
        <w:t>administrátor na základě</w:t>
      </w:r>
      <w:r w:rsidR="00620A25">
        <w:rPr>
          <w:rFonts w:ascii="Times New Roman" w:hAnsi="Times New Roman" w:eastAsia="Times New Roman"/>
          <w:b w:val="0"/>
        </w:rPr>
        <w:t xml:space="preserve"> administrativní</w:t>
      </w:r>
      <w:r w:rsidRPr="0085409D">
        <w:rPr>
          <w:rFonts w:ascii="Times New Roman" w:hAnsi="Times New Roman" w:eastAsia="Times New Roman"/>
          <w:b w:val="0"/>
        </w:rPr>
        <w:t xml:space="preserve"> kontroly zjistí, že příjemce porušil povinnost stanovenou právním předpisem, která souvisí s účelem, na který byly peněžní prostředky poskytnuty, nedodržel účel dotace nebo podmínku, za které byla dotace poskytnuta, a u níž nelze vyzvat k provedení opatření k nápravě, písemně vyzve příjemce k vrácení dotace nebo její části</w:t>
      </w:r>
      <w:r w:rsidR="000B2EBA">
        <w:rPr>
          <w:rStyle w:val="Znakapoznpodarou"/>
          <w:rFonts w:ascii="Times New Roman" w:hAnsi="Times New Roman" w:eastAsia="Times New Roman"/>
          <w:b w:val="0"/>
        </w:rPr>
        <w:fldChar w:fldCharType="begin"/>
      </w:r>
      <w:r w:rsidR="000B2EBA">
        <w:rPr>
          <w:rFonts w:ascii="Times New Roman" w:hAnsi="Times New Roman" w:eastAsia="Times New Roman"/>
          <w:b w:val="0"/>
        </w:rPr>
        <w:instrText xml:space="preserve"> NOTEREF _Ref132962485 \h </w:instrText>
      </w:r>
      <w:r w:rsidR="000B2EBA">
        <w:rPr>
          <w:rStyle w:val="Znakapoznpodarou"/>
          <w:rFonts w:ascii="Times New Roman" w:hAnsi="Times New Roman" w:eastAsia="Times New Roman"/>
          <w:b w:val="0"/>
        </w:rPr>
        <w:instrText xml:space="preserve"> \* MERGEFORMAT </w:instrText>
      </w:r>
      <w:r w:rsidR="000B2EBA">
        <w:rPr>
          <w:rStyle w:val="Znakapoznpodarou"/>
          <w:rFonts w:ascii="Times New Roman" w:hAnsi="Times New Roman" w:eastAsia="Times New Roman"/>
          <w:b w:val="0"/>
        </w:rPr>
      </w:r>
      <w:r w:rsidR="000B2EBA">
        <w:rPr>
          <w:rStyle w:val="Znakapoznpodarou"/>
          <w:rFonts w:ascii="Times New Roman" w:hAnsi="Times New Roman" w:eastAsia="Times New Roman"/>
          <w:b w:val="0"/>
        </w:rPr>
        <w:fldChar w:fldCharType="separate"/>
      </w:r>
      <w:r w:rsidRPr="00C171DA" w:rsidR="004F0239">
        <w:rPr>
          <w:rFonts w:ascii="Times New Roman" w:hAnsi="Times New Roman" w:eastAsia="Times New Roman"/>
          <w:b w:val="0"/>
          <w:vertAlign w:val="superscript"/>
        </w:rPr>
        <w:t>12</w:t>
      </w:r>
      <w:r w:rsidR="000B2EBA">
        <w:rPr>
          <w:rStyle w:val="Znakapoznpodarou"/>
          <w:rFonts w:ascii="Times New Roman" w:hAnsi="Times New Roman" w:eastAsia="Times New Roman"/>
          <w:b w:val="0"/>
        </w:rPr>
        <w:fldChar w:fldCharType="end"/>
      </w:r>
      <w:r w:rsidRPr="0085409D">
        <w:rPr>
          <w:rFonts w:ascii="Times New Roman" w:hAnsi="Times New Roman" w:eastAsia="Times New Roman"/>
          <w:b w:val="0"/>
        </w:rPr>
        <w:t xml:space="preserve">. </w:t>
      </w:r>
    </w:p>
    <w:p w:rsidRPr="0085409D" w:rsidR="00984476" w:rsidP="00181894" w:rsidRDefault="00BA3C71" w14:paraId="54015C48" w14:textId="1DC155B2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 xml:space="preserve">V případě, že centrální administrátor zjistí, že příjemce dotace porušil povinnost předložit finanční vypořádání a vrátit poskytnuté prostředky ve stanoveném termínu, nastává následující den, po marném uplynutí termínu stanoveného pro vrácení poskytnutých prostředků, porušení rozpočtové kázně příjemcem. </w:t>
      </w:r>
      <w:r>
        <w:rPr>
          <w:rStyle w:val="Znakapoznpodarou"/>
          <w:rFonts w:ascii="Times New Roman" w:hAnsi="Times New Roman" w:eastAsia="Times New Roman"/>
          <w:b w:val="0"/>
        </w:rPr>
        <w:footnoteReference w:id="13"/>
      </w:r>
      <w:r>
        <w:rPr>
          <w:rFonts w:ascii="Times New Roman" w:hAnsi="Times New Roman" w:eastAsia="Times New Roman"/>
          <w:b w:val="0"/>
        </w:rPr>
        <w:t xml:space="preserve"> Centrální administrátor dále postupuje podle </w:t>
      </w:r>
      <w:r w:rsidR="0087667A">
        <w:rPr>
          <w:rFonts w:ascii="Times New Roman" w:hAnsi="Times New Roman" w:eastAsia="Times New Roman"/>
          <w:b w:val="0"/>
        </w:rPr>
        <w:t xml:space="preserve">odstavce </w:t>
      </w:r>
      <w:r>
        <w:rPr>
          <w:rFonts w:ascii="Times New Roman" w:hAnsi="Times New Roman" w:eastAsia="Times New Roman"/>
          <w:b w:val="0"/>
        </w:rPr>
        <w:t xml:space="preserve">2 </w:t>
      </w:r>
      <w:r w:rsidR="0064104A">
        <w:rPr>
          <w:rFonts w:ascii="Times New Roman" w:hAnsi="Times New Roman" w:eastAsia="Times New Roman"/>
          <w:b w:val="0"/>
        </w:rPr>
        <w:t>č</w:t>
      </w:r>
      <w:r>
        <w:rPr>
          <w:rFonts w:ascii="Times New Roman" w:hAnsi="Times New Roman" w:eastAsia="Times New Roman"/>
          <w:b w:val="0"/>
        </w:rPr>
        <w:t>l. XXII.</w:t>
      </w:r>
      <w:r w:rsidRPr="0085409D" w:rsidR="00984476">
        <w:rPr>
          <w:rFonts w:ascii="Times New Roman" w:hAnsi="Times New Roman" w:eastAsia="Times New Roman"/>
          <w:b w:val="0"/>
        </w:rPr>
        <w:t xml:space="preserve"> </w:t>
      </w:r>
    </w:p>
    <w:p w:rsidR="00984476" w:rsidP="00181894" w:rsidRDefault="00984476" w14:paraId="013A4889" w14:textId="24734C8D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85409D">
        <w:rPr>
          <w:rFonts w:ascii="Times New Roman" w:hAnsi="Times New Roman" w:eastAsia="Times New Roman"/>
          <w:b w:val="0"/>
        </w:rPr>
        <w:lastRenderedPageBreak/>
        <w:t xml:space="preserve">Výsledek </w:t>
      </w:r>
      <w:r w:rsidR="00ED6569">
        <w:rPr>
          <w:rFonts w:ascii="Times New Roman" w:hAnsi="Times New Roman" w:eastAsia="Times New Roman"/>
          <w:b w:val="0"/>
        </w:rPr>
        <w:t xml:space="preserve">administrativní </w:t>
      </w:r>
      <w:r w:rsidRPr="0085409D">
        <w:rPr>
          <w:rFonts w:ascii="Times New Roman" w:hAnsi="Times New Roman" w:eastAsia="Times New Roman"/>
          <w:b w:val="0"/>
        </w:rPr>
        <w:t>kontroly finanční</w:t>
      </w:r>
      <w:r>
        <w:rPr>
          <w:rFonts w:ascii="Times New Roman" w:hAnsi="Times New Roman" w:eastAsia="Times New Roman"/>
          <w:b w:val="0"/>
        </w:rPr>
        <w:t>ho</w:t>
      </w:r>
      <w:r w:rsidRPr="0085409D">
        <w:rPr>
          <w:rFonts w:ascii="Times New Roman" w:hAnsi="Times New Roman" w:eastAsia="Times New Roman"/>
          <w:b w:val="0"/>
        </w:rPr>
        <w:t xml:space="preserve"> vypořádání dotace zaznamená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85409D">
        <w:rPr>
          <w:rFonts w:ascii="Times New Roman" w:hAnsi="Times New Roman" w:eastAsia="Times New Roman"/>
          <w:b w:val="0"/>
        </w:rPr>
        <w:t>administrátor do</w:t>
      </w:r>
      <w:r w:rsidR="00C264E6">
        <w:rPr>
          <w:rFonts w:ascii="Times New Roman" w:hAnsi="Times New Roman" w:eastAsia="Times New Roman"/>
          <w:b w:val="0"/>
        </w:rPr>
        <w:t> </w:t>
      </w:r>
      <w:r w:rsidRPr="0085409D">
        <w:rPr>
          <w:rFonts w:ascii="Times New Roman" w:hAnsi="Times New Roman" w:eastAsia="Times New Roman"/>
          <w:b w:val="0"/>
        </w:rPr>
        <w:t xml:space="preserve">formuláře finančního vypořádání dotace – viz příloha </w:t>
      </w:r>
      <w:r w:rsidR="00C13504">
        <w:rPr>
          <w:rFonts w:ascii="Times New Roman" w:hAnsi="Times New Roman" w:eastAsia="Times New Roman"/>
          <w:b w:val="0"/>
        </w:rPr>
        <w:t>6</w:t>
      </w:r>
      <w:r w:rsidRPr="0085409D">
        <w:rPr>
          <w:rFonts w:ascii="Times New Roman" w:hAnsi="Times New Roman" w:eastAsia="Times New Roman"/>
          <w:b w:val="0"/>
        </w:rPr>
        <w:t>.</w:t>
      </w:r>
    </w:p>
    <w:p w:rsidRPr="009252CA" w:rsidR="00540BA9" w:rsidP="00181894" w:rsidRDefault="009252CA" w14:paraId="1B5FC813" w14:textId="77777777">
      <w:pPr>
        <w:pStyle w:val="Odstavecseseznamem"/>
        <w:numPr>
          <w:ilvl w:val="0"/>
          <w:numId w:val="17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9252CA">
        <w:rPr>
          <w:rFonts w:ascii="Times New Roman" w:hAnsi="Times New Roman" w:eastAsia="Times New Roman"/>
          <w:b w:val="0"/>
        </w:rPr>
        <w:t>Pokud</w:t>
      </w:r>
      <w:r w:rsidRPr="009252CA" w:rsidR="006E29E1">
        <w:rPr>
          <w:rFonts w:ascii="Times New Roman" w:hAnsi="Times New Roman"/>
          <w:b w:val="0"/>
        </w:rPr>
        <w:t xml:space="preserve"> je poskytnuta individuální dotace k účelu, na který je vypsán dotační program, pak se </w:t>
      </w:r>
      <w:r w:rsidRPr="009252CA">
        <w:rPr>
          <w:rFonts w:ascii="Times New Roman" w:hAnsi="Times New Roman"/>
          <w:b w:val="0"/>
        </w:rPr>
        <w:t xml:space="preserve">finanční vypořádání </w:t>
      </w:r>
      <w:r w:rsidRPr="009252CA" w:rsidR="006E29E1">
        <w:rPr>
          <w:rFonts w:ascii="Times New Roman" w:hAnsi="Times New Roman"/>
          <w:b w:val="0"/>
        </w:rPr>
        <w:t xml:space="preserve">řídí tímto programem, v ostatních případech musí </w:t>
      </w:r>
      <w:r w:rsidRPr="009252CA">
        <w:rPr>
          <w:rFonts w:ascii="Times New Roman" w:hAnsi="Times New Roman"/>
          <w:b w:val="0"/>
        </w:rPr>
        <w:t xml:space="preserve">pravidla pro finanční vypořádání stanovena ve veřejnoprávní </w:t>
      </w:r>
      <w:r w:rsidRPr="009252CA" w:rsidR="006E29E1">
        <w:rPr>
          <w:rFonts w:ascii="Times New Roman" w:hAnsi="Times New Roman"/>
          <w:b w:val="0"/>
        </w:rPr>
        <w:t>smlouvě</w:t>
      </w:r>
      <w:r w:rsidRPr="009252CA">
        <w:rPr>
          <w:rFonts w:ascii="Times New Roman" w:hAnsi="Times New Roman"/>
          <w:b w:val="0"/>
        </w:rPr>
        <w:t xml:space="preserve"> o poskytnutí dotace</w:t>
      </w:r>
      <w:r w:rsidRPr="009252CA" w:rsidR="006E29E1">
        <w:rPr>
          <w:rFonts w:ascii="Times New Roman" w:hAnsi="Times New Roman"/>
          <w:b w:val="0"/>
        </w:rPr>
        <w:t>.</w:t>
      </w:r>
    </w:p>
    <w:p w:rsidR="00255E56" w:rsidP="00181894" w:rsidRDefault="00255E56" w14:paraId="637805D2" w14:textId="4630F097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617" w:id="56"/>
    </w:p>
    <w:p w:rsidRPr="00181894" w:rsidR="00181894" w:rsidP="00181894" w:rsidRDefault="00181894" w14:paraId="5E8AB8B4" w14:textId="77777777">
      <w:pPr>
        <w:rPr/>
      </w:pPr>
    </w:p>
    <w:p w:rsidR="1BCDF371" w:rsidRDefault="1BCDF371" w14:paraId="7536062D" w14:textId="0D385C67">
      <w:pPr>
        <w:rPr/>
      </w:pPr>
      <w:r>
        <w:br w:type="page"/>
      </w:r>
    </w:p>
    <w:p w:rsidRPr="005E102E" w:rsidR="00984476" w:rsidP="00181894" w:rsidRDefault="00984476" w14:paraId="7B2A0486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XXII.</w:t>
      </w:r>
      <w:bookmarkEnd w:id="56"/>
    </w:p>
    <w:p w:rsidRPr="005E102E" w:rsidR="00984476" w:rsidP="00181894" w:rsidRDefault="00984476" w14:paraId="55A324F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8" w:id="57"/>
      <w:r w:rsidRPr="005E102E">
        <w:rPr>
          <w:b/>
          <w:sz w:val="22"/>
          <w:szCs w:val="22"/>
        </w:rPr>
        <w:t>Porušení rozpočtové kázně</w:t>
      </w:r>
      <w:bookmarkEnd w:id="57"/>
    </w:p>
    <w:p w:rsidRPr="00246189" w:rsidR="00984476" w:rsidP="00181894" w:rsidRDefault="00984476" w14:paraId="01576F2A" w14:textId="77777777">
      <w:pPr>
        <w:pStyle w:val="Odstavecseseznamem"/>
        <w:numPr>
          <w:ilvl w:val="0"/>
          <w:numId w:val="1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P</w:t>
      </w:r>
      <w:r w:rsidRPr="00246189">
        <w:rPr>
          <w:rFonts w:ascii="Times New Roman" w:hAnsi="Times New Roman" w:eastAsia="Times New Roman"/>
          <w:b w:val="0"/>
        </w:rPr>
        <w:t>oskytovatel postup</w:t>
      </w:r>
      <w:r>
        <w:rPr>
          <w:rFonts w:ascii="Times New Roman" w:hAnsi="Times New Roman" w:eastAsia="Times New Roman"/>
          <w:b w:val="0"/>
        </w:rPr>
        <w:t>uje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>podle příslušných zákonných ustanovení</w:t>
      </w:r>
      <w:r>
        <w:rPr>
          <w:rStyle w:val="Znakapoznpodarou"/>
          <w:rFonts w:ascii="Times New Roman" w:hAnsi="Times New Roman" w:eastAsia="Times New Roman"/>
          <w:b w:val="0"/>
        </w:rPr>
        <w:footnoteReference w:id="14"/>
      </w:r>
      <w:r>
        <w:rPr>
          <w:rFonts w:ascii="Times New Roman" w:hAnsi="Times New Roman" w:eastAsia="Times New Roman"/>
          <w:b w:val="0"/>
        </w:rPr>
        <w:t xml:space="preserve"> v</w:t>
      </w:r>
      <w:r w:rsidRPr="00246189">
        <w:rPr>
          <w:rFonts w:ascii="Times New Roman" w:hAnsi="Times New Roman" w:eastAsia="Times New Roman"/>
          <w:b w:val="0"/>
        </w:rPr>
        <w:t xml:space="preserve"> případě, že se příjemce dopustí porušení rozpočtové kázně </w:t>
      </w:r>
      <w:r w:rsidR="002F69B2">
        <w:rPr>
          <w:rFonts w:ascii="Times New Roman" w:hAnsi="Times New Roman" w:eastAsia="Times New Roman"/>
          <w:b w:val="0"/>
        </w:rPr>
        <w:t xml:space="preserve">a </w:t>
      </w:r>
      <w:r w:rsidRPr="00246189">
        <w:rPr>
          <w:rFonts w:ascii="Times New Roman" w:hAnsi="Times New Roman" w:eastAsia="Times New Roman"/>
          <w:b w:val="0"/>
        </w:rPr>
        <w:t>porušení povinnosti nelze příjemcem odstranit</w:t>
      </w:r>
      <w:r>
        <w:rPr>
          <w:rFonts w:ascii="Times New Roman" w:hAnsi="Times New Roman" w:eastAsia="Times New Roman"/>
          <w:b w:val="0"/>
        </w:rPr>
        <w:t>.</w:t>
      </w:r>
    </w:p>
    <w:p w:rsidR="00096A66" w:rsidP="00181894" w:rsidRDefault="00984476" w14:paraId="6B6553E0" w14:textId="52C59372">
      <w:pPr>
        <w:pStyle w:val="Odstavecseseznamem"/>
        <w:numPr>
          <w:ilvl w:val="0"/>
          <w:numId w:val="18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 xml:space="preserve">Porušení rozpočtové kázně předává </w:t>
      </w:r>
      <w:r>
        <w:rPr>
          <w:rFonts w:ascii="Times New Roman" w:hAnsi="Times New Roman" w:eastAsia="Times New Roman"/>
          <w:b w:val="0"/>
        </w:rPr>
        <w:t xml:space="preserve">centrální </w:t>
      </w:r>
      <w:r w:rsidRPr="00246189">
        <w:rPr>
          <w:rFonts w:ascii="Times New Roman" w:hAnsi="Times New Roman" w:eastAsia="Times New Roman"/>
          <w:b w:val="0"/>
        </w:rPr>
        <w:t>administrátor po je</w:t>
      </w:r>
      <w:r w:rsidR="002663F1">
        <w:rPr>
          <w:rFonts w:ascii="Times New Roman" w:hAnsi="Times New Roman" w:eastAsia="Times New Roman"/>
          <w:b w:val="0"/>
        </w:rPr>
        <w:t>ho</w:t>
      </w:r>
      <w:r w:rsidRPr="00246189">
        <w:rPr>
          <w:rFonts w:ascii="Times New Roman" w:hAnsi="Times New Roman" w:eastAsia="Times New Roman"/>
          <w:b w:val="0"/>
        </w:rPr>
        <w:t xml:space="preserve"> zjištění bez zbytečného odkladu k řešení </w:t>
      </w:r>
      <w:r w:rsidRPr="00246189" w:rsidR="000D0B4D">
        <w:rPr>
          <w:rFonts w:ascii="Times New Roman" w:hAnsi="Times New Roman" w:eastAsia="Times New Roman"/>
          <w:b w:val="0"/>
        </w:rPr>
        <w:t>odboru legislativnímu a právnímu</w:t>
      </w:r>
      <w:r w:rsidR="000D0B4D">
        <w:rPr>
          <w:rFonts w:ascii="Times New Roman" w:hAnsi="Times New Roman" w:eastAsia="Times New Roman"/>
          <w:b w:val="0"/>
        </w:rPr>
        <w:t>, stavební úřad</w:t>
      </w:r>
      <w:r w:rsidRPr="00246189" w:rsidR="000D0B4D">
        <w:rPr>
          <w:rFonts w:ascii="Times New Roman" w:hAnsi="Times New Roman" w:eastAsia="Times New Roman"/>
          <w:b w:val="0"/>
        </w:rPr>
        <w:t xml:space="preserve"> a krajsk</w:t>
      </w:r>
      <w:r w:rsidR="000D0B4D">
        <w:rPr>
          <w:rFonts w:ascii="Times New Roman" w:hAnsi="Times New Roman" w:eastAsia="Times New Roman"/>
          <w:b w:val="0"/>
        </w:rPr>
        <w:t>ý</w:t>
      </w:r>
      <w:r w:rsidRPr="00246189" w:rsidR="000D0B4D">
        <w:rPr>
          <w:rFonts w:ascii="Times New Roman" w:hAnsi="Times New Roman" w:eastAsia="Times New Roman"/>
          <w:b w:val="0"/>
        </w:rPr>
        <w:t xml:space="preserve"> živnostensk</w:t>
      </w:r>
      <w:r w:rsidR="000D0B4D">
        <w:rPr>
          <w:rFonts w:ascii="Times New Roman" w:hAnsi="Times New Roman" w:eastAsia="Times New Roman"/>
          <w:b w:val="0"/>
        </w:rPr>
        <w:t>ý</w:t>
      </w:r>
      <w:r w:rsidRPr="00246189" w:rsidR="000D0B4D">
        <w:rPr>
          <w:rFonts w:ascii="Times New Roman" w:hAnsi="Times New Roman" w:eastAsia="Times New Roman"/>
          <w:b w:val="0"/>
        </w:rPr>
        <w:t xml:space="preserve"> úřad</w:t>
      </w:r>
      <w:r w:rsidRPr="00246189" w:rsidDel="000D0B4D" w:rsidR="000D0B4D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 w:eastAsia="Times New Roman"/>
          <w:b w:val="0"/>
        </w:rPr>
        <w:t>včetně veškeré dokumentace.</w:t>
      </w:r>
    </w:p>
    <w:p w:rsidR="00181894" w:rsidP="00181894" w:rsidRDefault="00181894" w14:paraId="00B67042" w14:textId="73F7AA81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593828" w:rsidR="00181894" w:rsidP="00181894" w:rsidRDefault="00181894" w14:paraId="7F551C88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8D30C1" w:rsidR="00984476" w:rsidP="00181894" w:rsidRDefault="00984476" w14:paraId="358D0332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19" w:id="58"/>
      <w:r w:rsidRPr="008D30C1">
        <w:rPr>
          <w:b/>
          <w:sz w:val="22"/>
          <w:szCs w:val="22"/>
        </w:rPr>
        <w:t>Čl. XXIII.</w:t>
      </w:r>
      <w:bookmarkEnd w:id="58"/>
    </w:p>
    <w:p w:rsidRPr="005E102E" w:rsidR="00984476" w:rsidP="00181894" w:rsidRDefault="00984476" w14:paraId="6E64787B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0" w:id="59"/>
      <w:r w:rsidRPr="005E102E">
        <w:rPr>
          <w:b/>
          <w:sz w:val="22"/>
          <w:szCs w:val="22"/>
        </w:rPr>
        <w:t>Zásady kontroly dotace a veřejnosprávní kontrola</w:t>
      </w:r>
      <w:bookmarkEnd w:id="59"/>
    </w:p>
    <w:p w:rsidRPr="00246189" w:rsidR="00984476" w:rsidP="00181894" w:rsidRDefault="00984476" w14:paraId="0AC135B3" w14:textId="77777777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Poskytnutí dotace podléhá</w:t>
      </w:r>
      <w:r w:rsidRPr="00246189" w:rsidR="002663F1">
        <w:rPr>
          <w:rFonts w:ascii="Times New Roman" w:hAnsi="Times New Roman" w:eastAsia="Times New Roman"/>
          <w:b w:val="0"/>
        </w:rPr>
        <w:t xml:space="preserve"> </w:t>
      </w:r>
      <w:r w:rsidRPr="00246189">
        <w:rPr>
          <w:rFonts w:ascii="Times New Roman" w:hAnsi="Times New Roman" w:eastAsia="Times New Roman"/>
          <w:b w:val="0"/>
        </w:rPr>
        <w:t>kontrole dle zákona</w:t>
      </w:r>
      <w:r>
        <w:rPr>
          <w:rStyle w:val="Znakapoznpodarou"/>
          <w:rFonts w:ascii="Times New Roman" w:hAnsi="Times New Roman" w:eastAsia="Times New Roman"/>
          <w:b w:val="0"/>
        </w:rPr>
        <w:footnoteReference w:id="15"/>
      </w:r>
      <w:r w:rsidRPr="00246189">
        <w:rPr>
          <w:rFonts w:ascii="Times New Roman" w:hAnsi="Times New Roman" w:eastAsia="Times New Roman"/>
          <w:b w:val="0"/>
        </w:rPr>
        <w:t>.</w:t>
      </w:r>
    </w:p>
    <w:p w:rsidRPr="00246189" w:rsidR="00984476" w:rsidP="00181894" w:rsidRDefault="008B4106" w14:paraId="161B9EB5" w14:textId="77777777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eastAsia="Times New Roman"/>
          <w:b w:val="0"/>
        </w:rPr>
        <w:t>Administrativní kontrolu finančního vypořádání provádí administrátor.</w:t>
      </w:r>
      <w:r w:rsidRPr="00246189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 xml:space="preserve">Veřejnosprávní kontrolu </w:t>
      </w:r>
      <w:r w:rsidRPr="00246189" w:rsidR="00984476">
        <w:rPr>
          <w:rFonts w:ascii="Times New Roman" w:hAnsi="Times New Roman" w:eastAsia="Times New Roman"/>
          <w:b w:val="0"/>
        </w:rPr>
        <w:t xml:space="preserve">využití prostředků dotace provádí </w:t>
      </w:r>
      <w:r w:rsidR="00984476">
        <w:rPr>
          <w:rFonts w:ascii="Times New Roman" w:hAnsi="Times New Roman" w:eastAsia="Times New Roman"/>
          <w:b w:val="0"/>
        </w:rPr>
        <w:t>administrátor</w:t>
      </w:r>
      <w:r>
        <w:rPr>
          <w:rFonts w:ascii="Times New Roman" w:hAnsi="Times New Roman" w:eastAsia="Times New Roman"/>
          <w:b w:val="0"/>
        </w:rPr>
        <w:t xml:space="preserve"> a odbor kontroly</w:t>
      </w:r>
      <w:r w:rsidR="00984476">
        <w:rPr>
          <w:rFonts w:ascii="Times New Roman" w:hAnsi="Times New Roman" w:eastAsia="Times New Roman"/>
          <w:b w:val="0"/>
        </w:rPr>
        <w:t xml:space="preserve">. </w:t>
      </w:r>
      <w:r w:rsidRPr="00246189" w:rsidR="00984476">
        <w:rPr>
          <w:rFonts w:ascii="Times New Roman" w:hAnsi="Times New Roman" w:eastAsia="Times New Roman"/>
          <w:b w:val="0"/>
        </w:rPr>
        <w:t>Podrobný postup při provádění kontrolní činnosti je specifikován ve vnitřním předpisu</w:t>
      </w:r>
      <w:bookmarkStart w:name="_Ref132959217" w:id="60"/>
      <w:r w:rsidRPr="00246189" w:rsidR="00984476">
        <w:rPr>
          <w:rStyle w:val="Znakapoznpodarou"/>
          <w:rFonts w:ascii="Times New Roman" w:hAnsi="Times New Roman" w:eastAsia="Times New Roman"/>
          <w:b w:val="0"/>
        </w:rPr>
        <w:footnoteReference w:id="16"/>
      </w:r>
      <w:bookmarkEnd w:id="60"/>
      <w:r w:rsidRPr="00246189" w:rsidR="00984476">
        <w:rPr>
          <w:rFonts w:ascii="Times New Roman" w:hAnsi="Times New Roman" w:eastAsia="Times New Roman"/>
          <w:b w:val="0"/>
        </w:rPr>
        <w:t>.</w:t>
      </w:r>
      <w:r w:rsidR="00984476">
        <w:rPr>
          <w:rFonts w:ascii="Times New Roman" w:hAnsi="Times New Roman" w:eastAsia="Times New Roman"/>
          <w:b w:val="0"/>
        </w:rPr>
        <w:t xml:space="preserve"> V případě, že kontrola bude vyžadovat speciální odborné znalosti, poskytne příslušný odbor centrálnímu administrátorovi odpovídající součinnost.</w:t>
      </w:r>
      <w:r w:rsidR="0055095B">
        <w:rPr>
          <w:rFonts w:ascii="Times New Roman" w:hAnsi="Times New Roman" w:eastAsia="Times New Roman"/>
          <w:b w:val="0"/>
        </w:rPr>
        <w:t xml:space="preserve"> Metodickou pomoc </w:t>
      </w:r>
      <w:r w:rsidR="00CD42F6">
        <w:rPr>
          <w:rFonts w:ascii="Times New Roman" w:hAnsi="Times New Roman" w:eastAsia="Times New Roman"/>
          <w:b w:val="0"/>
        </w:rPr>
        <w:t>poskytuje</w:t>
      </w:r>
      <w:r w:rsidR="0055095B">
        <w:rPr>
          <w:rFonts w:ascii="Times New Roman" w:hAnsi="Times New Roman" w:eastAsia="Times New Roman"/>
          <w:b w:val="0"/>
        </w:rPr>
        <w:t xml:space="preserve"> odbor kontroly.</w:t>
      </w:r>
    </w:p>
    <w:p w:rsidRPr="00E32CDC" w:rsidR="00984476" w:rsidP="00181894" w:rsidRDefault="00984476" w14:paraId="33B2740E" w14:textId="107FE466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32CDC">
        <w:rPr>
          <w:rFonts w:ascii="Times New Roman" w:hAnsi="Times New Roman"/>
          <w:b w:val="0"/>
        </w:rPr>
        <w:t>Dílčí návrh plánu veřejnosprávních kontrol na následující rok předkládá v souladu s platným kontrolním řádem</w:t>
      </w:r>
      <w:r w:rsidRPr="005A3359" w:rsidR="00A14174">
        <w:rPr>
          <w:rFonts w:ascii="Times New Roman" w:hAnsi="Times New Roman"/>
          <w:b w:val="0"/>
          <w:vertAlign w:val="superscript"/>
        </w:rPr>
        <w:fldChar w:fldCharType="begin"/>
      </w:r>
      <w:r w:rsidRPr="005A3359" w:rsidR="00A14174">
        <w:rPr>
          <w:rFonts w:ascii="Times New Roman" w:hAnsi="Times New Roman"/>
          <w:b w:val="0"/>
          <w:vertAlign w:val="superscript"/>
        </w:rPr>
        <w:instrText xml:space="preserve"> NOTEREF _Ref132959217 \h </w:instrText>
      </w:r>
      <w:r w:rsidR="00A14174">
        <w:rPr>
          <w:rFonts w:ascii="Times New Roman" w:hAnsi="Times New Roman"/>
          <w:b w:val="0"/>
          <w:vertAlign w:val="superscript"/>
        </w:rPr>
        <w:instrText xml:space="preserve"> \* MERGEFORMAT </w:instrText>
      </w:r>
      <w:r w:rsidRPr="005A3359" w:rsidR="00A14174">
        <w:rPr>
          <w:rFonts w:ascii="Times New Roman" w:hAnsi="Times New Roman"/>
          <w:b w:val="0"/>
          <w:vertAlign w:val="superscript"/>
        </w:rPr>
      </w:r>
      <w:r w:rsidRPr="005A3359" w:rsidR="00A14174">
        <w:rPr>
          <w:rFonts w:ascii="Times New Roman" w:hAnsi="Times New Roman"/>
          <w:b w:val="0"/>
          <w:vertAlign w:val="superscript"/>
        </w:rPr>
        <w:fldChar w:fldCharType="separate"/>
      </w:r>
      <w:r w:rsidR="004F0239">
        <w:rPr>
          <w:rFonts w:ascii="Times New Roman" w:hAnsi="Times New Roman"/>
          <w:b w:val="0"/>
          <w:vertAlign w:val="superscript"/>
        </w:rPr>
        <w:t>16</w:t>
      </w:r>
      <w:r w:rsidRPr="005A3359" w:rsidR="00A14174">
        <w:rPr>
          <w:rFonts w:ascii="Times New Roman" w:hAnsi="Times New Roman"/>
          <w:b w:val="0"/>
          <w:vertAlign w:val="superscript"/>
        </w:rPr>
        <w:fldChar w:fldCharType="end"/>
      </w:r>
      <w:r w:rsidRPr="00246189">
        <w:rPr>
          <w:rFonts w:ascii="Times New Roman" w:hAnsi="Times New Roman"/>
          <w:b w:val="0"/>
        </w:rPr>
        <w:t xml:space="preserve"> centrální administrátor odboru kontroly v termínu </w:t>
      </w:r>
      <w:r w:rsidRPr="00E32CDC">
        <w:rPr>
          <w:rFonts w:ascii="Times New Roman" w:hAnsi="Times New Roman"/>
          <w:b w:val="0"/>
        </w:rPr>
        <w:t>do </w:t>
      </w:r>
      <w:r w:rsidR="008B4106">
        <w:rPr>
          <w:rFonts w:ascii="Times New Roman" w:hAnsi="Times New Roman"/>
          <w:b w:val="0"/>
        </w:rPr>
        <w:t>30. září</w:t>
      </w:r>
      <w:r w:rsidRPr="00E32CDC">
        <w:rPr>
          <w:rFonts w:ascii="Times New Roman" w:hAnsi="Times New Roman"/>
          <w:b w:val="0"/>
        </w:rPr>
        <w:t xml:space="preserve"> běžného roku. Při</w:t>
      </w:r>
      <w:r w:rsidR="00C264E6">
        <w:rPr>
          <w:rFonts w:ascii="Times New Roman" w:hAnsi="Times New Roman"/>
          <w:b w:val="0"/>
        </w:rPr>
        <w:t> </w:t>
      </w:r>
      <w:r w:rsidRPr="00E32CDC">
        <w:rPr>
          <w:rFonts w:ascii="Times New Roman" w:hAnsi="Times New Roman"/>
          <w:b w:val="0"/>
        </w:rPr>
        <w:t>sestavování plánu mají prioritu kontroly z oblastí, kde jsou signalizovány problémy</w:t>
      </w:r>
      <w:r w:rsidR="008B4106">
        <w:rPr>
          <w:rFonts w:ascii="Times New Roman" w:hAnsi="Times New Roman"/>
          <w:b w:val="0"/>
        </w:rPr>
        <w:t>, příp. byla provedena analýza rizik</w:t>
      </w:r>
      <w:r w:rsidR="009252CA">
        <w:rPr>
          <w:rFonts w:ascii="Times New Roman" w:hAnsi="Times New Roman"/>
          <w:b w:val="0"/>
        </w:rPr>
        <w:t>, ze které vyplývá důvodnost pro veřejnosprávní kontrolu</w:t>
      </w:r>
      <w:r w:rsidRPr="00E32CDC">
        <w:rPr>
          <w:rFonts w:ascii="Times New Roman" w:hAnsi="Times New Roman"/>
          <w:b w:val="0"/>
        </w:rPr>
        <w:t>.</w:t>
      </w:r>
    </w:p>
    <w:p w:rsidR="00984476" w:rsidP="002225D7" w:rsidRDefault="00984476" w14:paraId="7B1D816D" w14:textId="17B9D03F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EC14F6">
        <w:rPr>
          <w:rFonts w:ascii="Times New Roman" w:hAnsi="Times New Roman"/>
          <w:b w:val="0"/>
        </w:rPr>
        <w:t>Výkon veřejnosprávní kontroly prováděné v samostatné působnosti kraje kromě kontrolního řádu upravuje zvláštní vnitřní předpis</w:t>
      </w:r>
      <w:r w:rsidR="008C1CCE">
        <w:rPr>
          <w:rStyle w:val="Znakapoznpodarou"/>
          <w:rFonts w:ascii="Times New Roman" w:hAnsi="Times New Roman"/>
          <w:b w:val="0"/>
        </w:rPr>
        <w:footnoteReference w:id="17"/>
      </w:r>
      <w:r w:rsidRPr="00246189">
        <w:rPr>
          <w:rFonts w:ascii="Times New Roman" w:hAnsi="Times New Roman"/>
          <w:b w:val="0"/>
        </w:rPr>
        <w:t>.</w:t>
      </w:r>
    </w:p>
    <w:p w:rsidR="003A7A63" w:rsidP="003A7A63" w:rsidRDefault="003A7A63" w14:paraId="4E76B87C" w14:textId="4572C62F">
      <w:pPr>
        <w:pStyle w:val="Odstavecseseznamem"/>
        <w:suppressAutoHyphens/>
        <w:spacing w:before="240" w:after="0" w:line="240" w:lineRule="auto"/>
        <w:ind w:left="0"/>
        <w:jc w:val="both"/>
        <w:rPr>
          <w:rFonts w:ascii="Times New Roman" w:hAnsi="Times New Roman"/>
          <w:b w:val="0"/>
        </w:rPr>
      </w:pPr>
    </w:p>
    <w:p w:rsidRPr="00246189" w:rsidR="003A7A63" w:rsidP="003A7A63" w:rsidRDefault="003A7A63" w14:paraId="5F29DE00" w14:textId="77777777">
      <w:pPr>
        <w:pStyle w:val="Odstavecseseznamem"/>
        <w:suppressAutoHyphens/>
        <w:spacing w:before="240" w:after="0" w:line="240" w:lineRule="auto"/>
        <w:ind w:left="0"/>
        <w:jc w:val="both"/>
        <w:rPr>
          <w:rFonts w:ascii="Times New Roman" w:hAnsi="Times New Roman"/>
          <w:b w:val="0"/>
        </w:rPr>
      </w:pPr>
    </w:p>
    <w:p w:rsidRPr="005E102E" w:rsidR="00984476" w:rsidP="539ACAA7" w:rsidRDefault="00984476" w14:paraId="583A526E" w14:textId="40585D2D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1" w:id="61"/>
      <w:r w:rsidRPr="539ACAA7">
        <w:rPr>
          <w:b/>
          <w:sz w:val="22"/>
          <w:szCs w:val="22"/>
        </w:rPr>
        <w:t>Čl. XXIV.</w:t>
      </w:r>
      <w:bookmarkEnd w:id="61"/>
    </w:p>
    <w:p w:rsidRPr="005E102E" w:rsidR="00984476" w:rsidP="00181894" w:rsidRDefault="00984476" w14:paraId="22F055C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2" w:id="62"/>
      <w:r w:rsidRPr="005E102E">
        <w:rPr>
          <w:b/>
          <w:sz w:val="22"/>
          <w:szCs w:val="22"/>
        </w:rPr>
        <w:t>Monitorování dotačního programu</w:t>
      </w:r>
      <w:bookmarkEnd w:id="62"/>
    </w:p>
    <w:p w:rsidRPr="003525F2" w:rsidR="00984476" w:rsidP="00181894" w:rsidRDefault="00984476" w14:paraId="2E82E55F" w14:textId="77777777">
      <w:pPr>
        <w:pStyle w:val="Odstavecseseznamem"/>
        <w:numPr>
          <w:ilvl w:val="0"/>
          <w:numId w:val="2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Centrální administrátor předloží </w:t>
      </w:r>
      <w:r w:rsidR="00C42A75">
        <w:rPr>
          <w:rFonts w:ascii="Times New Roman" w:hAnsi="Times New Roman" w:eastAsia="Times New Roman"/>
          <w:b w:val="0"/>
        </w:rPr>
        <w:t>na vyžádání</w:t>
      </w:r>
      <w:r w:rsidRPr="00EC14F6">
        <w:rPr>
          <w:rFonts w:ascii="Times New Roman" w:hAnsi="Times New Roman" w:eastAsia="Times New Roman"/>
          <w:b w:val="0"/>
        </w:rPr>
        <w:t xml:space="preserve"> voleným orgán</w:t>
      </w:r>
      <w:r w:rsidRPr="00246189">
        <w:rPr>
          <w:rFonts w:ascii="Times New Roman" w:hAnsi="Times New Roman" w:eastAsia="Times New Roman"/>
          <w:b w:val="0"/>
        </w:rPr>
        <w:t xml:space="preserve">ům kraje </w:t>
      </w:r>
      <w:r>
        <w:rPr>
          <w:rFonts w:ascii="Times New Roman" w:hAnsi="Times New Roman" w:eastAsia="Times New Roman"/>
          <w:b w:val="0"/>
        </w:rPr>
        <w:t xml:space="preserve">a vedoucím příslušných odborů </w:t>
      </w:r>
      <w:r w:rsidRPr="00246189">
        <w:rPr>
          <w:rFonts w:ascii="Times New Roman" w:hAnsi="Times New Roman" w:eastAsia="Times New Roman"/>
          <w:b w:val="0"/>
        </w:rPr>
        <w:t>informativní zprávu o realizaci dotačního programu za předchozí kalendářní rok vč</w:t>
      </w:r>
      <w:r>
        <w:rPr>
          <w:rFonts w:ascii="Times New Roman" w:hAnsi="Times New Roman" w:eastAsia="Times New Roman"/>
          <w:b w:val="0"/>
        </w:rPr>
        <w:t>etně </w:t>
      </w:r>
      <w:r w:rsidRPr="003525F2">
        <w:rPr>
          <w:rFonts w:ascii="Times New Roman" w:hAnsi="Times New Roman" w:eastAsia="Times New Roman"/>
          <w:b w:val="0"/>
        </w:rPr>
        <w:t>krátkého zhodnocení dotačního programu.</w:t>
      </w:r>
    </w:p>
    <w:p w:rsidRPr="003525F2" w:rsidR="00984476" w:rsidP="00181894" w:rsidRDefault="00984476" w14:paraId="0820D775" w14:textId="77777777">
      <w:pPr>
        <w:pStyle w:val="Odstavecseseznamem"/>
        <w:numPr>
          <w:ilvl w:val="0"/>
          <w:numId w:val="20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3525F2">
        <w:rPr>
          <w:rFonts w:ascii="Times New Roman" w:hAnsi="Times New Roman" w:eastAsia="Times New Roman"/>
          <w:b w:val="0"/>
        </w:rPr>
        <w:t>Zpráva bude obsahovat:</w:t>
      </w:r>
    </w:p>
    <w:p w:rsidRPr="00615EC7" w:rsidR="00984476" w:rsidP="004F0239" w:rsidRDefault="00984476" w14:paraId="06CDF7DB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t>celkový počet žádostí,</w:t>
      </w:r>
    </w:p>
    <w:p w:rsidR="00984476" w:rsidP="004F0239" w:rsidRDefault="00984476" w14:paraId="550BCCB9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lastRenderedPageBreak/>
        <w:t>počet uspokojených žádostí,</w:t>
      </w:r>
    </w:p>
    <w:p w:rsidRPr="00615EC7" w:rsidR="008E04BF" w:rsidP="004F0239" w:rsidRDefault="008E04BF" w14:paraId="08CA25DC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celková výše požadovaných finančních prostředků,</w:t>
      </w:r>
    </w:p>
    <w:p w:rsidRPr="00615EC7" w:rsidR="00984476" w:rsidP="004F0239" w:rsidRDefault="00984476" w14:paraId="086F9D22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t>celková výše poskytnutých finančních prostředků,</w:t>
      </w:r>
    </w:p>
    <w:p w:rsidRPr="00615EC7" w:rsidR="00984476" w:rsidP="004F0239" w:rsidRDefault="00984476" w14:paraId="6ED67051" w14:textId="77777777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615EC7">
        <w:rPr>
          <w:rFonts w:ascii="Times New Roman" w:hAnsi="Times New Roman"/>
          <w:b w:val="0"/>
        </w:rPr>
        <w:t>výše vrácených finančních prostředků,</w:t>
      </w:r>
    </w:p>
    <w:p w:rsidR="00984476" w:rsidP="004F0239" w:rsidRDefault="00984476" w14:paraId="06612CB4" w14:textId="1D886D6D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615EC7">
        <w:rPr>
          <w:rFonts w:ascii="Times New Roman" w:hAnsi="Times New Roman"/>
          <w:b w:val="0"/>
        </w:rPr>
        <w:t>vyhodnocení dotačního programu včetně případných návrhů, připomínek či</w:t>
      </w:r>
      <w:r>
        <w:rPr>
          <w:rFonts w:ascii="Times New Roman" w:hAnsi="Times New Roman" w:eastAsia="Times New Roman"/>
          <w:b w:val="0"/>
        </w:rPr>
        <w:t xml:space="preserve"> podnětů od žadatelů či</w:t>
      </w:r>
      <w:r w:rsidR="00C264E6">
        <w:rPr>
          <w:rFonts w:ascii="Times New Roman" w:hAnsi="Times New Roman" w:eastAsia="Times New Roman"/>
          <w:b w:val="0"/>
        </w:rPr>
        <w:t> </w:t>
      </w:r>
      <w:r>
        <w:rPr>
          <w:rFonts w:ascii="Times New Roman" w:hAnsi="Times New Roman" w:eastAsia="Times New Roman"/>
          <w:b w:val="0"/>
        </w:rPr>
        <w:t>příjemců dotace</w:t>
      </w:r>
      <w:r w:rsidRPr="003525F2">
        <w:rPr>
          <w:rFonts w:ascii="Times New Roman" w:hAnsi="Times New Roman" w:eastAsia="Times New Roman"/>
          <w:b w:val="0"/>
        </w:rPr>
        <w:t>.</w:t>
      </w:r>
    </w:p>
    <w:p w:rsidR="002225D7" w:rsidP="002225D7" w:rsidRDefault="002225D7" w14:paraId="15DABCE7" w14:textId="5558FDB4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3525F2" w:rsidR="002225D7" w:rsidP="002225D7" w:rsidRDefault="002225D7" w14:paraId="5209C8D1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="1BCDF371" w:rsidRDefault="1BCDF371" w14:paraId="53B3E6FD" w14:textId="0E41BA84">
      <w:pPr>
        <w:rPr/>
      </w:pPr>
      <w:r>
        <w:br w:type="page"/>
      </w:r>
    </w:p>
    <w:p w:rsidRPr="005E102E" w:rsidR="00984476" w:rsidP="00181894" w:rsidRDefault="00984476" w14:paraId="392F4CC4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3" w:id="63"/>
      <w:r w:rsidRPr="005E102E">
        <w:rPr>
          <w:b/>
          <w:sz w:val="22"/>
          <w:szCs w:val="22"/>
        </w:rPr>
        <w:t>Čl. XXV.</w:t>
      </w:r>
      <w:bookmarkEnd w:id="63"/>
    </w:p>
    <w:p w:rsidRPr="005E102E" w:rsidR="00984476" w:rsidP="00181894" w:rsidRDefault="00984476" w14:paraId="44008621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4" w:id="64"/>
      <w:r w:rsidRPr="005E102E">
        <w:rPr>
          <w:b/>
          <w:sz w:val="22"/>
          <w:szCs w:val="22"/>
        </w:rPr>
        <w:t>Monitorování individuálních dotací</w:t>
      </w:r>
      <w:bookmarkEnd w:id="64"/>
    </w:p>
    <w:p w:rsidRPr="00246189" w:rsidR="00984476" w:rsidP="00181894" w:rsidRDefault="00984476" w14:paraId="2B1137A7" w14:textId="77777777">
      <w:pPr>
        <w:pStyle w:val="Odstavecseseznamem"/>
        <w:numPr>
          <w:ilvl w:val="0"/>
          <w:numId w:val="2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Centrální administrátor předloží </w:t>
      </w:r>
      <w:r w:rsidR="00C42A75">
        <w:rPr>
          <w:rFonts w:ascii="Times New Roman" w:hAnsi="Times New Roman" w:eastAsia="Times New Roman"/>
          <w:b w:val="0"/>
        </w:rPr>
        <w:t>na vyžádání</w:t>
      </w:r>
      <w:r w:rsidRPr="00EC14F6">
        <w:rPr>
          <w:rFonts w:ascii="Times New Roman" w:hAnsi="Times New Roman" w:eastAsia="Times New Roman"/>
          <w:b w:val="0"/>
        </w:rPr>
        <w:t xml:space="preserve"> voleným orgán</w:t>
      </w:r>
      <w:r w:rsidRPr="00246189">
        <w:rPr>
          <w:rFonts w:ascii="Times New Roman" w:hAnsi="Times New Roman" w:eastAsia="Times New Roman"/>
          <w:b w:val="0"/>
        </w:rPr>
        <w:t>ům kraje</w:t>
      </w:r>
      <w:r w:rsidRPr="00B9684F">
        <w:rPr>
          <w:rFonts w:ascii="Times New Roman" w:hAnsi="Times New Roman" w:eastAsia="Times New Roman"/>
          <w:b w:val="0"/>
        </w:rPr>
        <w:t xml:space="preserve"> </w:t>
      </w:r>
      <w:r>
        <w:rPr>
          <w:rFonts w:ascii="Times New Roman" w:hAnsi="Times New Roman" w:eastAsia="Times New Roman"/>
          <w:b w:val="0"/>
        </w:rPr>
        <w:t>a vedoucím příslušných odborů</w:t>
      </w:r>
      <w:r w:rsidRPr="00246189">
        <w:rPr>
          <w:rFonts w:ascii="Times New Roman" w:hAnsi="Times New Roman" w:eastAsia="Times New Roman"/>
          <w:b w:val="0"/>
        </w:rPr>
        <w:t xml:space="preserve"> informativní zprávu o poskytnutých individuálních dotacích za předchozí kalendářní rok.</w:t>
      </w:r>
    </w:p>
    <w:p w:rsidRPr="00246189" w:rsidR="00984476" w:rsidP="00181894" w:rsidRDefault="00984476" w14:paraId="5A86ABCF" w14:textId="77777777">
      <w:pPr>
        <w:pStyle w:val="Odstavecseseznamem"/>
        <w:numPr>
          <w:ilvl w:val="0"/>
          <w:numId w:val="21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Zpráva bude obsahovat:</w:t>
      </w:r>
    </w:p>
    <w:p w:rsidRPr="00246189" w:rsidR="00984476" w:rsidP="004F0239" w:rsidRDefault="00984476" w14:paraId="3CD3FFF6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celkový počet žádostí,</w:t>
      </w:r>
    </w:p>
    <w:p w:rsidR="00984476" w:rsidP="004F0239" w:rsidRDefault="00984476" w14:paraId="687E9995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počet uspokojených žádostí,</w:t>
      </w:r>
    </w:p>
    <w:p w:rsidRPr="00246189" w:rsidR="008E04BF" w:rsidP="004F0239" w:rsidRDefault="008E04BF" w14:paraId="5E339DB1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/>
          <w:b w:val="0"/>
        </w:rPr>
        <w:t>celková výše požadovaných finančních prostředků,</w:t>
      </w:r>
    </w:p>
    <w:p w:rsidRPr="00246189" w:rsidR="00984476" w:rsidP="004F0239" w:rsidRDefault="00984476" w14:paraId="597F50B0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celková výše poskytnutých finančních prostředků,</w:t>
      </w:r>
    </w:p>
    <w:p w:rsidRPr="00246189" w:rsidR="00984476" w:rsidP="004F0239" w:rsidRDefault="00984476" w14:paraId="1DD064EC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výše vrácených finančních prostředků,</w:t>
      </w:r>
    </w:p>
    <w:p w:rsidR="00984476" w:rsidP="004F0239" w:rsidRDefault="00984476" w14:paraId="7FF86D3F" w14:textId="77777777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 w:eastAsia="Times New Roman"/>
          <w:b w:val="0"/>
        </w:rPr>
        <w:t>rozčlenění žádostí a poskytnutých žádostí dle jednotlivých okruhů</w:t>
      </w:r>
      <w:r>
        <w:rPr>
          <w:rFonts w:ascii="Times New Roman" w:hAnsi="Times New Roman" w:eastAsia="Times New Roman"/>
          <w:b w:val="0"/>
        </w:rPr>
        <w:t>,</w:t>
      </w:r>
    </w:p>
    <w:p w:rsidR="00984476" w:rsidP="004F0239" w:rsidRDefault="00984476" w14:paraId="751ED84C" w14:textId="451F1A50">
      <w:pPr>
        <w:pStyle w:val="Odstavecseseznamem"/>
        <w:numPr>
          <w:ilvl w:val="1"/>
          <w:numId w:val="21"/>
        </w:numPr>
        <w:suppressAutoHyphens/>
        <w:spacing w:before="120" w:after="0" w:line="240" w:lineRule="auto"/>
        <w:ind w:left="681" w:hanging="284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vyhodnocení předložených individuálních žádostí včetně případných návrhů, připomínek či podnětů od žadatelů či příjemců dotace</w:t>
      </w:r>
      <w:r w:rsidRPr="00246189">
        <w:rPr>
          <w:rFonts w:ascii="Times New Roman" w:hAnsi="Times New Roman" w:eastAsia="Times New Roman"/>
          <w:b w:val="0"/>
        </w:rPr>
        <w:t>.</w:t>
      </w:r>
    </w:p>
    <w:p w:rsidR="002225D7" w:rsidP="002225D7" w:rsidRDefault="002225D7" w14:paraId="55414BBF" w14:textId="4503D2AD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Pr="00246189" w:rsidR="002225D7" w:rsidP="002225D7" w:rsidRDefault="002225D7" w14:paraId="3EB60D17" w14:textId="77777777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eastAsia="Times New Roman"/>
          <w:b w:val="0"/>
        </w:rPr>
      </w:pPr>
    </w:p>
    <w:p w:rsidR="00502D5B" w:rsidP="00181894" w:rsidRDefault="00502D5B" w14:paraId="3A0FF5F2" w14:textId="4C851641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  <w:bookmarkStart w:name="_Toc526920625" w:id="65"/>
    </w:p>
    <w:p w:rsidRPr="005E102E" w:rsidR="00984476" w:rsidP="00181894" w:rsidRDefault="00984476" w14:paraId="7B288097" w14:textId="77777777">
      <w:pPr>
        <w:pStyle w:val="Nadpis1"/>
        <w:keepNext w:val="0"/>
        <w:widowControl/>
        <w:suppressAutoHyphens/>
        <w:rPr>
          <w:b/>
          <w:i/>
          <w:sz w:val="22"/>
          <w:szCs w:val="22"/>
        </w:rPr>
      </w:pPr>
      <w:r w:rsidRPr="005E102E">
        <w:rPr>
          <w:b/>
          <w:i/>
          <w:sz w:val="22"/>
          <w:szCs w:val="22"/>
        </w:rPr>
        <w:t>Část sedmá</w:t>
      </w:r>
      <w:bookmarkEnd w:id="65"/>
    </w:p>
    <w:p w:rsidRPr="00452CA4" w:rsidR="00984476" w:rsidP="00181894" w:rsidRDefault="00984476" w14:paraId="7A22FD39" w14:textId="77777777">
      <w:pPr>
        <w:pStyle w:val="Nadpis1"/>
        <w:keepNext w:val="0"/>
        <w:widowControl/>
        <w:suppressAutoHyphens/>
        <w:rPr>
          <w:b/>
          <w:caps/>
          <w:sz w:val="22"/>
          <w:szCs w:val="22"/>
        </w:rPr>
      </w:pPr>
      <w:bookmarkStart w:name="_Toc526920626" w:id="66"/>
      <w:r w:rsidRPr="00452CA4">
        <w:rPr>
          <w:b/>
          <w:caps/>
          <w:sz w:val="22"/>
          <w:szCs w:val="22"/>
        </w:rPr>
        <w:t>Závěr</w:t>
      </w:r>
      <w:bookmarkEnd w:id="66"/>
    </w:p>
    <w:p w:rsidR="00181894" w:rsidP="00181894" w:rsidRDefault="00181894" w14:paraId="6E58A8E5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7" w:id="67"/>
    </w:p>
    <w:p w:rsidRPr="005E102E" w:rsidR="00984476" w:rsidP="00181894" w:rsidRDefault="00984476" w14:paraId="4AD5E4DE" w14:textId="06EA8764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XXVI.</w:t>
      </w:r>
      <w:bookmarkEnd w:id="67"/>
    </w:p>
    <w:p w:rsidRPr="005E102E" w:rsidR="00984476" w:rsidP="00181894" w:rsidRDefault="00984476" w14:paraId="26C9746A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28" w:id="68"/>
      <w:r w:rsidRPr="005E102E">
        <w:rPr>
          <w:b/>
          <w:sz w:val="22"/>
          <w:szCs w:val="22"/>
        </w:rPr>
        <w:t>Uzavření žádostí</w:t>
      </w:r>
      <w:bookmarkEnd w:id="68"/>
      <w:r w:rsidRPr="005E102E">
        <w:rPr>
          <w:b/>
          <w:sz w:val="22"/>
          <w:szCs w:val="22"/>
        </w:rPr>
        <w:t>, dotačních programů a individuálních dotací</w:t>
      </w:r>
    </w:p>
    <w:p w:rsidRPr="00246189" w:rsidR="00984476" w:rsidP="002225D7" w:rsidRDefault="00984476" w14:paraId="67D59C18" w14:textId="77777777">
      <w:pPr>
        <w:pStyle w:val="Odstavecseseznamem"/>
        <w:suppressAutoHyphens/>
        <w:spacing w:before="240" w:after="0" w:line="240" w:lineRule="auto"/>
        <w:ind w:left="397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Centrální a</w:t>
      </w:r>
      <w:r w:rsidRPr="00246189">
        <w:rPr>
          <w:rFonts w:ascii="Times New Roman" w:hAnsi="Times New Roman"/>
          <w:b w:val="0"/>
        </w:rPr>
        <w:t>dministrátor uzavře v souladu s platným spisovým a skartačním řádem:</w:t>
      </w:r>
    </w:p>
    <w:p w:rsidRPr="0055197C" w:rsidR="00984476" w:rsidP="002225D7" w:rsidRDefault="00984476" w14:paraId="1B32246A" w14:textId="77777777">
      <w:pPr>
        <w:pStyle w:val="Odstavecseseznamem"/>
        <w:numPr>
          <w:ilvl w:val="1"/>
          <w:numId w:val="48"/>
        </w:numPr>
        <w:suppressAutoHyphens/>
        <w:spacing w:before="120" w:after="0" w:line="240" w:lineRule="auto"/>
        <w:ind w:hanging="425"/>
        <w:contextualSpacing w:val="0"/>
        <w:jc w:val="both"/>
        <w:rPr>
          <w:rFonts w:ascii="Times New Roman" w:hAnsi="Times New Roman" w:eastAsia="Times New Roman"/>
          <w:b w:val="0"/>
        </w:rPr>
      </w:pPr>
      <w:r w:rsidRPr="0055197C">
        <w:rPr>
          <w:rFonts w:ascii="Times New Roman" w:hAnsi="Times New Roman" w:eastAsia="Times New Roman"/>
          <w:b w:val="0"/>
        </w:rPr>
        <w:t>žádosti, u kterých již proběhlo finanční vypořádání a případně i veřejnosprávní kontrola,</w:t>
      </w:r>
    </w:p>
    <w:p w:rsidRPr="0055197C" w:rsidR="00984476" w:rsidP="002225D7" w:rsidRDefault="00984476" w14:paraId="4FCC8E64" w14:textId="77777777">
      <w:pPr>
        <w:pStyle w:val="Odstavecseseznamem"/>
        <w:numPr>
          <w:ilvl w:val="1"/>
          <w:numId w:val="48"/>
        </w:numPr>
        <w:suppressAutoHyphens/>
        <w:spacing w:before="120" w:after="0" w:line="240" w:lineRule="auto"/>
        <w:ind w:hanging="425"/>
        <w:contextualSpacing w:val="0"/>
        <w:jc w:val="both"/>
        <w:rPr>
          <w:rFonts w:ascii="Times New Roman" w:hAnsi="Times New Roman" w:eastAsia="Times New Roman"/>
          <w:b w:val="0"/>
        </w:rPr>
      </w:pPr>
      <w:r w:rsidRPr="0055197C">
        <w:rPr>
          <w:rFonts w:ascii="Times New Roman" w:hAnsi="Times New Roman" w:eastAsia="Times New Roman"/>
          <w:b w:val="0"/>
        </w:rPr>
        <w:t xml:space="preserve">dotační </w:t>
      </w:r>
      <w:r w:rsidRPr="0055197C" w:rsidR="002A63EF">
        <w:rPr>
          <w:rFonts w:ascii="Times New Roman" w:hAnsi="Times New Roman" w:eastAsia="Times New Roman"/>
          <w:b w:val="0"/>
        </w:rPr>
        <w:t>program – složku</w:t>
      </w:r>
      <w:r w:rsidRPr="0055197C">
        <w:rPr>
          <w:rFonts w:ascii="Times New Roman" w:hAnsi="Times New Roman" w:eastAsia="Times New Roman"/>
          <w:b w:val="0"/>
        </w:rPr>
        <w:t xml:space="preserve"> s programovými dotacemi, u kterých již proběhlo uzavření všech žádostí,</w:t>
      </w:r>
    </w:p>
    <w:p w:rsidRPr="00246189" w:rsidR="00984476" w:rsidP="002225D7" w:rsidRDefault="00984476" w14:paraId="49A20797" w14:textId="77777777">
      <w:pPr>
        <w:pStyle w:val="Odstavecseseznamem"/>
        <w:numPr>
          <w:ilvl w:val="1"/>
          <w:numId w:val="48"/>
        </w:numPr>
        <w:suppressAutoHyphens/>
        <w:spacing w:before="120" w:after="0" w:line="240" w:lineRule="auto"/>
        <w:ind w:hanging="425"/>
        <w:contextualSpacing w:val="0"/>
        <w:jc w:val="both"/>
        <w:rPr>
          <w:rFonts w:ascii="Times New Roman" w:hAnsi="Times New Roman"/>
          <w:b w:val="0"/>
        </w:rPr>
      </w:pPr>
      <w:r w:rsidRPr="0055197C">
        <w:rPr>
          <w:rFonts w:ascii="Times New Roman" w:hAnsi="Times New Roman" w:eastAsia="Times New Roman"/>
          <w:b w:val="0"/>
        </w:rPr>
        <w:t xml:space="preserve">individuální </w:t>
      </w:r>
      <w:r w:rsidRPr="0055197C" w:rsidR="002A63EF">
        <w:rPr>
          <w:rFonts w:ascii="Times New Roman" w:hAnsi="Times New Roman" w:eastAsia="Times New Roman"/>
          <w:b w:val="0"/>
        </w:rPr>
        <w:t>dotace – složku</w:t>
      </w:r>
      <w:r w:rsidRPr="0055197C">
        <w:rPr>
          <w:rFonts w:ascii="Times New Roman" w:hAnsi="Times New Roman" w:eastAsia="Times New Roman"/>
          <w:b w:val="0"/>
        </w:rPr>
        <w:t xml:space="preserve"> s individuálními dotacemi, u kterých již proběhlo</w:t>
      </w:r>
      <w:r w:rsidRPr="00246189">
        <w:rPr>
          <w:rFonts w:ascii="Times New Roman" w:hAnsi="Times New Roman"/>
          <w:b w:val="0"/>
        </w:rPr>
        <w:t xml:space="preserve"> uzavření všech žádostí.</w:t>
      </w:r>
    </w:p>
    <w:p w:rsidR="00FC4C35" w:rsidP="00181894" w:rsidRDefault="00FC4C35" w14:paraId="5630AD66" w14:textId="1D08611D">
      <w:pPr>
        <w:pStyle w:val="Nadpis1"/>
        <w:keepNext w:val="0"/>
        <w:widowControl/>
        <w:suppressAutoHyphens/>
        <w:jc w:val="left"/>
        <w:rPr>
          <w:sz w:val="22"/>
          <w:szCs w:val="22"/>
        </w:rPr>
      </w:pPr>
    </w:p>
    <w:p w:rsidRPr="00181894" w:rsidR="00181894" w:rsidP="00181894" w:rsidRDefault="00181894" w14:paraId="65825885" w14:textId="77777777"/>
    <w:p w:rsidRPr="005E102E" w:rsidR="00984476" w:rsidP="539ACAA7" w:rsidRDefault="00984476" w14:paraId="5ECF3D6D" w14:textId="0EFF9C4A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539ACAA7">
        <w:rPr>
          <w:b/>
          <w:sz w:val="22"/>
          <w:szCs w:val="22"/>
        </w:rPr>
        <w:t>Čl. XXVII.</w:t>
      </w:r>
    </w:p>
    <w:p w:rsidRPr="005E102E" w:rsidR="00984476" w:rsidP="00181894" w:rsidRDefault="00984476" w14:paraId="67E9E8CE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Technická a odborná podpora</w:t>
      </w:r>
    </w:p>
    <w:p w:rsidRPr="00246189" w:rsidR="00984476" w:rsidP="00181894" w:rsidRDefault="00984476" w14:paraId="69FF168E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Technickou podporu GINIS, spisové služby, informačního webu a dalších podpůrných a pomocných prostředků potřebných pro poskytování a administraci účelově určených finančních prostředků z rozpočtu kraje zajišťuje odbor informatiky.</w:t>
      </w:r>
    </w:p>
    <w:p w:rsidRPr="00246189" w:rsidR="00984476" w:rsidP="00181894" w:rsidRDefault="22D2A8F7" w14:paraId="31A22EDB" w14:textId="3F1F4F59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Odbornou podporu GINIS zajišťuje na základě smluvního vztahu distributor GINIS.</w:t>
      </w:r>
    </w:p>
    <w:p w:rsidRPr="00246189" w:rsidR="00984476" w:rsidP="00181894" w:rsidRDefault="00984476" w14:paraId="189EB448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lastRenderedPageBreak/>
        <w:t>Odbornou podporu spisové služby zajišťuje na základě smluvního vztahu distributor spisové služby.</w:t>
      </w:r>
    </w:p>
    <w:p w:rsidRPr="00246189" w:rsidR="00984476" w:rsidP="00181894" w:rsidRDefault="00984476" w14:paraId="24AFE497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Odbornou podporu informačního webu zajišťuje odbor informatiky.</w:t>
      </w:r>
    </w:p>
    <w:p w:rsidR="00984476" w:rsidP="00181894" w:rsidRDefault="00984476" w14:paraId="6A460A20" w14:textId="77777777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 w:rsidRPr="00246189">
        <w:rPr>
          <w:rFonts w:ascii="Times New Roman" w:hAnsi="Times New Roman"/>
          <w:b w:val="0"/>
        </w:rPr>
        <w:t>Odbornou podporu žadatelům o účelově určené finanční prostředky z rozpočtu kraje zajišťuje centrální administrátor ve spolupráci se všemi příslušnými odbory krajského úřadu, které jsou povinny zajistit potřebnou součinnost.</w:t>
      </w:r>
    </w:p>
    <w:p w:rsidRPr="002225D7" w:rsidR="00984476" w:rsidP="00181894" w:rsidRDefault="00984476" w14:paraId="29E4CCB1" w14:textId="54E92E5B">
      <w:pPr>
        <w:pStyle w:val="Odstavecseseznamem"/>
        <w:numPr>
          <w:ilvl w:val="0"/>
          <w:numId w:val="23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Odbornou podporu uživatelům GINIS a spisové služby zajišťuje centrální administrátor prostřednictvím </w:t>
      </w:r>
      <w:proofErr w:type="spellStart"/>
      <w:r w:rsidRPr="00246189">
        <w:rPr>
          <w:rFonts w:ascii="Times New Roman" w:hAnsi="Times New Roman" w:eastAsia="Times New Roman"/>
          <w:b w:val="0"/>
        </w:rPr>
        <w:t>Service</w:t>
      </w:r>
      <w:proofErr w:type="spellEnd"/>
      <w:r w:rsidRPr="00246189">
        <w:rPr>
          <w:rFonts w:ascii="Times New Roman" w:hAnsi="Times New Roman" w:eastAsia="Times New Roman"/>
          <w:b w:val="0"/>
        </w:rPr>
        <w:t xml:space="preserve"> </w:t>
      </w:r>
      <w:proofErr w:type="spellStart"/>
      <w:r w:rsidRPr="00246189">
        <w:rPr>
          <w:rFonts w:ascii="Times New Roman" w:hAnsi="Times New Roman" w:eastAsia="Times New Roman"/>
          <w:b w:val="0"/>
        </w:rPr>
        <w:t>Desk</w:t>
      </w:r>
      <w:proofErr w:type="spellEnd"/>
      <w:r>
        <w:rPr>
          <w:rFonts w:ascii="Times New Roman" w:hAnsi="Times New Roman" w:eastAsia="Times New Roman"/>
          <w:b w:val="0"/>
        </w:rPr>
        <w:t>.</w:t>
      </w:r>
    </w:p>
    <w:p w:rsidRPr="00246189" w:rsidR="002225D7" w:rsidP="002225D7" w:rsidRDefault="002225D7" w14:paraId="10A4439C" w14:textId="77777777">
      <w:pPr>
        <w:pStyle w:val="Odstavecseseznamem"/>
        <w:suppressAutoHyphens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b w:val="0"/>
        </w:rPr>
      </w:pPr>
    </w:p>
    <w:p w:rsidR="008D30C1" w:rsidP="00181894" w:rsidRDefault="008D30C1" w14:paraId="61829076" w14:textId="5FDDC659">
      <w:pPr>
        <w:pStyle w:val="Nadpis1"/>
        <w:keepNext w:val="0"/>
        <w:widowControl/>
        <w:suppressAutoHyphens/>
        <w:jc w:val="left"/>
        <w:rPr>
          <w:bCs w:val="0"/>
          <w:sz w:val="22"/>
          <w:szCs w:val="22"/>
        </w:rPr>
      </w:pPr>
      <w:bookmarkStart w:name="_Toc526920629" w:id="69"/>
    </w:p>
    <w:p w:rsidRPr="005E102E" w:rsidR="00984476" w:rsidP="00181894" w:rsidRDefault="00984476" w14:paraId="41B49938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XXVIII.</w:t>
      </w:r>
      <w:bookmarkEnd w:id="69"/>
    </w:p>
    <w:p w:rsidRPr="005E102E" w:rsidR="00984476" w:rsidP="00181894" w:rsidRDefault="00984476" w14:paraId="7C2E7475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30" w:id="70"/>
      <w:r w:rsidRPr="005E102E">
        <w:rPr>
          <w:b/>
          <w:sz w:val="22"/>
          <w:szCs w:val="22"/>
        </w:rPr>
        <w:t>Přechodná ustanovení</w:t>
      </w:r>
      <w:bookmarkEnd w:id="70"/>
    </w:p>
    <w:p w:rsidRPr="005E7C99" w:rsidR="00984476" w:rsidP="00181894" w:rsidRDefault="00984476" w14:paraId="6EB07235" w14:textId="77777777">
      <w:pPr>
        <w:pStyle w:val="Odstavecseseznamem"/>
        <w:numPr>
          <w:ilvl w:val="0"/>
          <w:numId w:val="2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5E7C99">
        <w:rPr>
          <w:rFonts w:ascii="Times New Roman" w:hAnsi="Times New Roman" w:eastAsia="Times New Roman"/>
          <w:b w:val="0"/>
        </w:rPr>
        <w:t>Dotace poskytnuté v rámci programů před nabytím účinnosti tohoto předpisu se dokončí podle pravidel a předpisů platných před účinností tohoto předpisu.</w:t>
      </w:r>
    </w:p>
    <w:p w:rsidRPr="00767937" w:rsidR="00984476" w:rsidP="00181894" w:rsidRDefault="00984476" w14:paraId="6E5C3532" w14:textId="77777777">
      <w:pPr>
        <w:pStyle w:val="Odstavecseseznamem"/>
        <w:numPr>
          <w:ilvl w:val="0"/>
          <w:numId w:val="24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767937">
        <w:rPr>
          <w:rFonts w:ascii="Times New Roman" w:hAnsi="Times New Roman" w:eastAsia="Times New Roman"/>
          <w:b w:val="0"/>
        </w:rPr>
        <w:t>Žádosti o individuální dotace podané před nabytím účinnosti toho</w:t>
      </w:r>
      <w:r w:rsidR="009720EB">
        <w:rPr>
          <w:rFonts w:ascii="Times New Roman" w:hAnsi="Times New Roman" w:eastAsia="Times New Roman"/>
          <w:b w:val="0"/>
        </w:rPr>
        <w:t>to</w:t>
      </w:r>
      <w:r w:rsidRPr="00767937">
        <w:rPr>
          <w:rFonts w:ascii="Times New Roman" w:hAnsi="Times New Roman" w:eastAsia="Times New Roman"/>
          <w:b w:val="0"/>
        </w:rPr>
        <w:t xml:space="preserve"> předpisu</w:t>
      </w:r>
      <w:r w:rsidRPr="00767937" w:rsidR="008C687F">
        <w:rPr>
          <w:rFonts w:ascii="Times New Roman" w:hAnsi="Times New Roman" w:eastAsia="Times New Roman"/>
          <w:b w:val="0"/>
        </w:rPr>
        <w:t>, o kterých orgán kraje ještě nerozhodl,</w:t>
      </w:r>
      <w:r w:rsidRPr="00767937">
        <w:rPr>
          <w:rFonts w:ascii="Times New Roman" w:hAnsi="Times New Roman" w:eastAsia="Times New Roman"/>
          <w:b w:val="0"/>
        </w:rPr>
        <w:t xml:space="preserve"> administruje věcně příslušný odbor podle tohoto předpisu.</w:t>
      </w:r>
      <w:r w:rsidRPr="00767937" w:rsidR="00380C0E">
        <w:rPr>
          <w:rFonts w:ascii="Times New Roman" w:hAnsi="Times New Roman" w:eastAsia="Times New Roman"/>
          <w:b w:val="0"/>
        </w:rPr>
        <w:t xml:space="preserve"> Individuální žádosti doručené pouze v listinné podobě pořídí do modulu RAP věcně příslušný odbor.</w:t>
      </w:r>
    </w:p>
    <w:p w:rsidRPr="00DF3432" w:rsidR="00984476" w:rsidP="00181894" w:rsidRDefault="22D2A8F7" w14:paraId="44B69A3F" w14:textId="040124DA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before="240"/>
        <w:jc w:val="both"/>
        <w:rPr>
          <w:b/>
          <w:bCs/>
          <w:sz w:val="22"/>
          <w:szCs w:val="22"/>
        </w:rPr>
      </w:pPr>
      <w:r w:rsidRPr="22D2A8F7">
        <w:rPr>
          <w:sz w:val="22"/>
          <w:szCs w:val="22"/>
        </w:rPr>
        <w:t>Centralizace administrace dotačních programů je realizována u všech dotačních programů vyjma:</w:t>
      </w:r>
    </w:p>
    <w:p w:rsidRPr="00DF3432" w:rsidR="00404BF1" w:rsidP="00181894" w:rsidRDefault="22D2A8F7" w14:paraId="6217DA08" w14:textId="1EE253DE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Program obnovy venkova 2022–2024; Od roku 2025 je Program obnovy venkova centralizován.</w:t>
      </w:r>
    </w:p>
    <w:p w:rsidRPr="008D6F9C" w:rsidR="00404BF1" w:rsidP="00181894" w:rsidRDefault="22D2A8F7" w14:paraId="1B7478DA" w14:textId="23404065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 w:eastAsia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>Program rozvoje konkurenceschopnosti Karlovarského kraje „Startovací vouchery“</w:t>
      </w:r>
    </w:p>
    <w:p w:rsidRPr="00DF3432" w:rsidR="00404BF1" w:rsidP="00181894" w:rsidRDefault="22D2A8F7" w14:paraId="4303634C" w14:textId="77777777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/>
          <w:b w:val="0"/>
        </w:rPr>
      </w:pPr>
      <w:r w:rsidRPr="22D2A8F7">
        <w:rPr>
          <w:rFonts w:ascii="Times New Roman" w:hAnsi="Times New Roman"/>
          <w:b w:val="0"/>
        </w:rPr>
        <w:t>Program pro poskytování finančních prostředků na zajištění sociálních služeb</w:t>
      </w:r>
    </w:p>
    <w:p w:rsidR="00404BF1" w:rsidP="00181894" w:rsidRDefault="22D2A8F7" w14:paraId="4D4472A3" w14:textId="77777777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 w:eastAsia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>Program v rámci projektu „Podpora vybraných služeb sociální prevence III“</w:t>
      </w:r>
    </w:p>
    <w:p w:rsidRPr="008D6F9C" w:rsidR="00404BF1" w:rsidP="00181894" w:rsidRDefault="22D2A8F7" w14:paraId="63F26FDC" w14:textId="77777777">
      <w:pPr>
        <w:pStyle w:val="Odstavecseseznamem"/>
        <w:numPr>
          <w:ilvl w:val="0"/>
          <w:numId w:val="38"/>
        </w:numPr>
        <w:suppressAutoHyphens/>
        <w:spacing w:before="120" w:after="0" w:line="240" w:lineRule="auto"/>
        <w:ind w:hanging="295"/>
        <w:contextualSpacing w:val="0"/>
        <w:jc w:val="both"/>
        <w:rPr>
          <w:rFonts w:ascii="Times New Roman" w:hAnsi="Times New Roman" w:eastAsia="Times New Roman"/>
          <w:b w:val="0"/>
        </w:rPr>
      </w:pPr>
      <w:r w:rsidRPr="22D2A8F7">
        <w:rPr>
          <w:rFonts w:ascii="Times New Roman" w:hAnsi="Times New Roman" w:eastAsia="Times New Roman"/>
          <w:b w:val="0"/>
        </w:rPr>
        <w:t>Program na zajištění spolufinancování sociálních služeb s celostátní a nadregionální působností</w:t>
      </w:r>
    </w:p>
    <w:p w:rsidRPr="00DF3432" w:rsidR="00984476" w:rsidP="00181894" w:rsidRDefault="22D2A8F7" w14:paraId="41EC52D7" w14:textId="250A9797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before="240"/>
        <w:jc w:val="both"/>
        <w:rPr>
          <w:sz w:val="22"/>
          <w:szCs w:val="22"/>
        </w:rPr>
      </w:pPr>
      <w:r w:rsidRPr="22D2A8F7">
        <w:rPr>
          <w:sz w:val="22"/>
          <w:szCs w:val="22"/>
        </w:rPr>
        <w:t>Roli centrálního administrátora pro dotační programy uvedené v předchozím odstavci tohoto článku zajišťuje oddělení grantových schémat a oddělení krajských dotací odboru investic ve spolupráci s odborem kancelář ředitelky úřadu. Dotační programy uvedené v předchozím odstavci tohoto článku administrují věcně příslušné odbory, na které přechází povinnosti centrálního administrátora, přičemž postupují přiměřeně podle těchto pravidel.</w:t>
      </w:r>
    </w:p>
    <w:p w:rsidRPr="00C171DA" w:rsidR="00984476" w:rsidP="00181894" w:rsidRDefault="22D2A8F7" w14:paraId="18644142" w14:textId="77777777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before="240"/>
        <w:jc w:val="both"/>
        <w:rPr>
          <w:sz w:val="22"/>
          <w:szCs w:val="22"/>
        </w:rPr>
      </w:pPr>
      <w:r w:rsidRPr="004F0239">
        <w:rPr>
          <w:sz w:val="22"/>
          <w:szCs w:val="22"/>
        </w:rPr>
        <w:t>Postupy uvedené v tomto předpisu jsou závazné, pokud příslušný orgán kraje v rámci své kompetence nerozhodne jinak.</w:t>
      </w:r>
    </w:p>
    <w:p w:rsidRPr="002225D7" w:rsidR="2CE807FD" w:rsidP="00181894" w:rsidRDefault="2CE807FD" w14:paraId="2D1344BF" w14:textId="14FEDF77">
      <w:pPr>
        <w:rPr>
          <w:sz w:val="22"/>
          <w:szCs w:val="22"/>
        </w:rPr>
      </w:pPr>
      <w:bookmarkStart w:name="_Toc526920631" w:id="71"/>
    </w:p>
    <w:p w:rsidRPr="002225D7" w:rsidR="003A58D2" w:rsidP="00181894" w:rsidRDefault="003A58D2" w14:paraId="10CF930D" w14:textId="77777777">
      <w:pPr>
        <w:rPr>
          <w:sz w:val="22"/>
          <w:szCs w:val="22"/>
        </w:rPr>
      </w:pPr>
    </w:p>
    <w:p w:rsidRPr="005E102E" w:rsidR="00984476" w:rsidP="00181894" w:rsidRDefault="00984476" w14:paraId="68CF77CF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r w:rsidRPr="005E102E">
        <w:rPr>
          <w:b/>
          <w:sz w:val="22"/>
          <w:szCs w:val="22"/>
        </w:rPr>
        <w:t>Čl. XXIX.</w:t>
      </w:r>
      <w:bookmarkEnd w:id="71"/>
    </w:p>
    <w:p w:rsidRPr="005E102E" w:rsidR="00984476" w:rsidP="00181894" w:rsidRDefault="00984476" w14:paraId="1D8EE7CD" w14:textId="77777777">
      <w:pPr>
        <w:pStyle w:val="Nadpis1"/>
        <w:keepNext w:val="0"/>
        <w:widowControl/>
        <w:suppressAutoHyphens/>
        <w:rPr>
          <w:b/>
          <w:sz w:val="22"/>
          <w:szCs w:val="22"/>
        </w:rPr>
      </w:pPr>
      <w:bookmarkStart w:name="_Toc526920632" w:id="72"/>
      <w:r w:rsidRPr="005E102E">
        <w:rPr>
          <w:b/>
          <w:sz w:val="22"/>
          <w:szCs w:val="22"/>
        </w:rPr>
        <w:t>Závěrečná ustanovení</w:t>
      </w:r>
      <w:bookmarkEnd w:id="72"/>
    </w:p>
    <w:p w:rsidRPr="00246189" w:rsidR="00984476" w:rsidP="00181894" w:rsidRDefault="00984476" w14:paraId="260EF160" w14:textId="77777777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EC14F6">
        <w:rPr>
          <w:rFonts w:ascii="Times New Roman" w:hAnsi="Times New Roman" w:eastAsia="Times New Roman"/>
          <w:b w:val="0"/>
        </w:rPr>
        <w:t xml:space="preserve">Přílohou předpisu jsou doporučené vzory dokumentů, které je možné měnit, upravovat či doplňovat s ohledem na poskytovanou dotaci, aniž by došlo k porušení platné právní úpravy, smyslu či účelu, které je nezbytné při poskytnutí dotace dle pravidel dodržovat. Vzory </w:t>
      </w:r>
      <w:r w:rsidR="00696E58">
        <w:rPr>
          <w:rFonts w:ascii="Times New Roman" w:hAnsi="Times New Roman" w:eastAsia="Times New Roman"/>
          <w:b w:val="0"/>
        </w:rPr>
        <w:t xml:space="preserve">doporučených </w:t>
      </w:r>
      <w:r w:rsidRPr="00EC14F6">
        <w:rPr>
          <w:rFonts w:ascii="Times New Roman" w:hAnsi="Times New Roman" w:eastAsia="Times New Roman"/>
          <w:b w:val="0"/>
        </w:rPr>
        <w:t xml:space="preserve">příloh jsou zveřejněny </w:t>
      </w:r>
      <w:r w:rsidR="00E61EDB">
        <w:rPr>
          <w:rFonts w:ascii="Times New Roman" w:hAnsi="Times New Roman" w:eastAsia="Times New Roman"/>
          <w:b w:val="0"/>
        </w:rPr>
        <w:t xml:space="preserve">v MS </w:t>
      </w:r>
      <w:proofErr w:type="spellStart"/>
      <w:r w:rsidR="00E61EDB">
        <w:rPr>
          <w:rFonts w:ascii="Times New Roman" w:hAnsi="Times New Roman" w:eastAsia="Times New Roman"/>
          <w:b w:val="0"/>
        </w:rPr>
        <w:t>Teams</w:t>
      </w:r>
      <w:proofErr w:type="spellEnd"/>
      <w:r w:rsidRPr="00246189">
        <w:rPr>
          <w:rFonts w:ascii="Times New Roman" w:hAnsi="Times New Roman" w:eastAsia="Times New Roman"/>
          <w:b w:val="0"/>
        </w:rPr>
        <w:t xml:space="preserve"> v </w:t>
      </w:r>
      <w:r w:rsidR="00E61EDB">
        <w:rPr>
          <w:rFonts w:ascii="Times New Roman" w:hAnsi="Times New Roman" w:eastAsia="Times New Roman"/>
          <w:b w:val="0"/>
        </w:rPr>
        <w:t>týmu</w:t>
      </w:r>
      <w:r w:rsidRPr="00246189" w:rsidR="00E61EDB">
        <w:rPr>
          <w:rFonts w:ascii="Times New Roman" w:hAnsi="Times New Roman" w:eastAsia="Times New Roman"/>
          <w:b w:val="0"/>
        </w:rPr>
        <w:t xml:space="preserve"> </w:t>
      </w:r>
      <w:proofErr w:type="spellStart"/>
      <w:r w:rsidRPr="00246189">
        <w:rPr>
          <w:rFonts w:ascii="Times New Roman" w:hAnsi="Times New Roman" w:eastAsia="Times New Roman"/>
          <w:b w:val="0"/>
        </w:rPr>
        <w:t>eDotace</w:t>
      </w:r>
      <w:proofErr w:type="spellEnd"/>
      <w:r w:rsidRPr="00246189">
        <w:rPr>
          <w:rFonts w:ascii="Times New Roman" w:hAnsi="Times New Roman" w:eastAsia="Times New Roman"/>
          <w:b w:val="0"/>
        </w:rPr>
        <w:t>. Jejich průběžnou aktualizaci zajišťuje a zodpovídá za ní centrální administrátor.</w:t>
      </w:r>
    </w:p>
    <w:p w:rsidRPr="005E7C99" w:rsidR="005E7C99" w:rsidP="00181894" w:rsidRDefault="005E7C99" w14:paraId="36606A29" w14:textId="77777777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246189">
        <w:rPr>
          <w:rFonts w:ascii="Times New Roman" w:hAnsi="Times New Roman"/>
          <w:b w:val="0"/>
        </w:rPr>
        <w:t xml:space="preserve">Na </w:t>
      </w:r>
      <w:r>
        <w:rPr>
          <w:rFonts w:ascii="Times New Roman" w:hAnsi="Times New Roman"/>
          <w:b w:val="0"/>
        </w:rPr>
        <w:t>postupy</w:t>
      </w:r>
      <w:r w:rsidRPr="00246189">
        <w:rPr>
          <w:rFonts w:ascii="Times New Roman" w:hAnsi="Times New Roman"/>
          <w:b w:val="0"/>
        </w:rPr>
        <w:t xml:space="preserve"> o přidělení a poskytnutí dotace se nevztahují obecné předpisy o správním řízení.</w:t>
      </w:r>
    </w:p>
    <w:p w:rsidR="0087667A" w:rsidP="00181894" w:rsidRDefault="0087667A" w14:paraId="21B71420" w14:textId="73AFFB89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>
        <w:rPr>
          <w:rFonts w:ascii="Times New Roman" w:hAnsi="Times New Roman" w:eastAsia="Times New Roman"/>
          <w:b w:val="0"/>
        </w:rPr>
        <w:t>Tímto předpisem se ruší předpis rady č. PR 0</w:t>
      </w:r>
      <w:r w:rsidR="001041F7">
        <w:rPr>
          <w:rFonts w:ascii="Times New Roman" w:hAnsi="Times New Roman" w:eastAsia="Times New Roman"/>
          <w:b w:val="0"/>
        </w:rPr>
        <w:t>4</w:t>
      </w:r>
      <w:r>
        <w:rPr>
          <w:rFonts w:ascii="Times New Roman" w:hAnsi="Times New Roman" w:eastAsia="Times New Roman"/>
          <w:b w:val="0"/>
        </w:rPr>
        <w:t>/20</w:t>
      </w:r>
      <w:r w:rsidR="001041F7">
        <w:rPr>
          <w:rFonts w:ascii="Times New Roman" w:hAnsi="Times New Roman" w:eastAsia="Times New Roman"/>
          <w:b w:val="0"/>
        </w:rPr>
        <w:t>23</w:t>
      </w:r>
      <w:r>
        <w:rPr>
          <w:rFonts w:ascii="Times New Roman" w:hAnsi="Times New Roman" w:eastAsia="Times New Roman"/>
          <w:b w:val="0"/>
        </w:rPr>
        <w:t>, Pravidla pro poskytování dotací a je</w:t>
      </w:r>
      <w:r w:rsidR="00120668">
        <w:rPr>
          <w:rFonts w:ascii="Times New Roman" w:hAnsi="Times New Roman" w:eastAsia="Times New Roman"/>
          <w:b w:val="0"/>
        </w:rPr>
        <w:t>j</w:t>
      </w:r>
      <w:r>
        <w:rPr>
          <w:rFonts w:ascii="Times New Roman" w:hAnsi="Times New Roman" w:eastAsia="Times New Roman"/>
          <w:b w:val="0"/>
        </w:rPr>
        <w:t>ich administrace.</w:t>
      </w:r>
    </w:p>
    <w:p w:rsidRPr="00C171DA" w:rsidR="002335CF" w:rsidP="00181894" w:rsidRDefault="002335CF" w14:paraId="3634B742" w14:textId="17BEF549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lastRenderedPageBreak/>
        <w:t>Tato pravidla byla schválena usnesením rady kraje</w:t>
      </w:r>
      <w:r w:rsidR="00E1325D">
        <w:rPr>
          <w:rFonts w:ascii="Times New Roman" w:hAnsi="Times New Roman" w:eastAsia="Times New Roman"/>
          <w:b w:val="0"/>
        </w:rPr>
        <w:t xml:space="preserve"> č.</w:t>
      </w:r>
      <w:r w:rsidRPr="00C171DA">
        <w:rPr>
          <w:rFonts w:ascii="Times New Roman" w:hAnsi="Times New Roman" w:eastAsia="Times New Roman"/>
          <w:b w:val="0"/>
        </w:rPr>
        <w:t xml:space="preserve"> </w:t>
      </w:r>
      <w:r w:rsidRPr="00E1325D" w:rsidR="00E1325D">
        <w:rPr>
          <w:rFonts w:ascii="Times New Roman" w:hAnsi="Times New Roman" w:eastAsia="Times New Roman"/>
          <w:b w:val="0"/>
        </w:rPr>
        <w:t xml:space="preserve">RK </w:t>
      </w:r>
      <w:r w:rsidR="003A7A63">
        <w:rPr>
          <w:rFonts w:ascii="Times New Roman" w:hAnsi="Times New Roman" w:eastAsia="Times New Roman"/>
          <w:b w:val="0"/>
        </w:rPr>
        <w:t>278/03</w:t>
      </w:r>
      <w:r w:rsidRPr="00E1325D" w:rsidR="00E1325D">
        <w:rPr>
          <w:rFonts w:ascii="Times New Roman" w:hAnsi="Times New Roman" w:eastAsia="Times New Roman"/>
          <w:b w:val="0"/>
        </w:rPr>
        <w:t>/2</w:t>
      </w:r>
      <w:r w:rsidR="00E673B3">
        <w:rPr>
          <w:rFonts w:ascii="Times New Roman" w:hAnsi="Times New Roman" w:eastAsia="Times New Roman"/>
          <w:b w:val="0"/>
        </w:rPr>
        <w:t>4</w:t>
      </w:r>
      <w:r w:rsidR="00E1325D">
        <w:rPr>
          <w:rFonts w:ascii="Times New Roman" w:hAnsi="Times New Roman" w:eastAsia="Times New Roman"/>
          <w:b w:val="0"/>
        </w:rPr>
        <w:t xml:space="preserve"> ze dne </w:t>
      </w:r>
      <w:r w:rsidR="003A7A63">
        <w:rPr>
          <w:rFonts w:ascii="Times New Roman" w:hAnsi="Times New Roman" w:eastAsia="Times New Roman"/>
          <w:b w:val="0"/>
        </w:rPr>
        <w:t>4. 3</w:t>
      </w:r>
      <w:r w:rsidR="00E1325D">
        <w:rPr>
          <w:rFonts w:ascii="Times New Roman" w:hAnsi="Times New Roman" w:eastAsia="Times New Roman"/>
          <w:b w:val="0"/>
        </w:rPr>
        <w:t>. 202</w:t>
      </w:r>
      <w:r w:rsidR="00E673B3">
        <w:rPr>
          <w:rFonts w:ascii="Times New Roman" w:hAnsi="Times New Roman" w:eastAsia="Times New Roman"/>
          <w:b w:val="0"/>
        </w:rPr>
        <w:t>4</w:t>
      </w:r>
      <w:r w:rsidRPr="00C171DA">
        <w:rPr>
          <w:rFonts w:ascii="Times New Roman" w:hAnsi="Times New Roman" w:eastAsia="Times New Roman"/>
          <w:b w:val="0"/>
        </w:rPr>
        <w:t>.</w:t>
      </w:r>
    </w:p>
    <w:p w:rsidRPr="00C171DA" w:rsidR="00984476" w:rsidP="002225D7" w:rsidRDefault="002335CF" w14:paraId="197F14DD" w14:textId="64DC6995">
      <w:pPr>
        <w:pStyle w:val="Odstavecseseznamem"/>
        <w:numPr>
          <w:ilvl w:val="0"/>
          <w:numId w:val="25"/>
        </w:numPr>
        <w:suppressAutoHyphens/>
        <w:spacing w:before="240" w:after="0" w:line="240" w:lineRule="auto"/>
        <w:contextualSpacing w:val="0"/>
        <w:jc w:val="both"/>
        <w:rPr>
          <w:rFonts w:ascii="Times New Roman" w:hAnsi="Times New Roman" w:eastAsia="Times New Roman"/>
          <w:b w:val="0"/>
        </w:rPr>
      </w:pPr>
      <w:r w:rsidRPr="00C171DA">
        <w:rPr>
          <w:rFonts w:ascii="Times New Roman" w:hAnsi="Times New Roman" w:eastAsia="Times New Roman"/>
          <w:b w:val="0"/>
        </w:rPr>
        <w:t xml:space="preserve">Tato pravidla </w:t>
      </w:r>
      <w:r w:rsidRPr="00C171DA" w:rsidR="00984476">
        <w:rPr>
          <w:rFonts w:ascii="Times New Roman" w:hAnsi="Times New Roman" w:eastAsia="Times New Roman"/>
          <w:b w:val="0"/>
        </w:rPr>
        <w:t>nabýv</w:t>
      </w:r>
      <w:r w:rsidRPr="00C171DA">
        <w:rPr>
          <w:rFonts w:ascii="Times New Roman" w:hAnsi="Times New Roman" w:eastAsia="Times New Roman"/>
          <w:b w:val="0"/>
        </w:rPr>
        <w:t>ají</w:t>
      </w:r>
      <w:r w:rsidRPr="00C171DA" w:rsidR="00984476">
        <w:rPr>
          <w:rFonts w:ascii="Times New Roman" w:hAnsi="Times New Roman" w:eastAsia="Times New Roman"/>
          <w:b w:val="0"/>
        </w:rPr>
        <w:t xml:space="preserve"> účinnosti dne</w:t>
      </w:r>
      <w:r w:rsidRPr="00C171DA" w:rsidR="000B2EBA">
        <w:rPr>
          <w:rFonts w:ascii="Times New Roman" w:hAnsi="Times New Roman" w:eastAsia="Times New Roman"/>
          <w:b w:val="0"/>
        </w:rPr>
        <w:t xml:space="preserve"> </w:t>
      </w:r>
      <w:r w:rsidR="003A7A63">
        <w:rPr>
          <w:rFonts w:ascii="Times New Roman" w:hAnsi="Times New Roman" w:eastAsia="Times New Roman"/>
          <w:b w:val="0"/>
        </w:rPr>
        <w:t>10. 3</w:t>
      </w:r>
      <w:r w:rsidRPr="00C171DA" w:rsidR="000B2EBA">
        <w:rPr>
          <w:rFonts w:ascii="Times New Roman" w:hAnsi="Times New Roman" w:eastAsia="Times New Roman"/>
          <w:b w:val="0"/>
        </w:rPr>
        <w:t>.</w:t>
      </w:r>
      <w:r w:rsidR="00E673B3">
        <w:rPr>
          <w:rFonts w:ascii="Times New Roman" w:hAnsi="Times New Roman" w:eastAsia="Times New Roman"/>
          <w:b w:val="0"/>
        </w:rPr>
        <w:t xml:space="preserve"> </w:t>
      </w:r>
      <w:r w:rsidRPr="00C171DA" w:rsidR="000B2EBA">
        <w:rPr>
          <w:rFonts w:ascii="Times New Roman" w:hAnsi="Times New Roman" w:eastAsia="Times New Roman"/>
          <w:b w:val="0"/>
        </w:rPr>
        <w:t>20</w:t>
      </w:r>
      <w:r w:rsidR="003A7A63">
        <w:rPr>
          <w:rFonts w:ascii="Times New Roman" w:hAnsi="Times New Roman" w:eastAsia="Times New Roman"/>
          <w:b w:val="0"/>
        </w:rPr>
        <w:t>24</w:t>
      </w:r>
      <w:r w:rsidRPr="00C171DA" w:rsidR="00984476">
        <w:rPr>
          <w:rFonts w:ascii="Times New Roman" w:hAnsi="Times New Roman" w:eastAsia="Times New Roman"/>
          <w:b w:val="0"/>
        </w:rPr>
        <w:t>.</w:t>
      </w:r>
    </w:p>
    <w:p w:rsidR="004F0239" w:rsidP="00181894" w:rsidRDefault="004F0239" w14:paraId="17AD93B2" w14:textId="5A5C6BBF">
      <w:pPr>
        <w:rPr>
          <w:sz w:val="22"/>
          <w:szCs w:val="22"/>
        </w:rPr>
      </w:pPr>
    </w:p>
    <w:p w:rsidR="00181894" w:rsidP="00181894" w:rsidRDefault="00181894" w14:paraId="269E6C3C" w14:textId="26AAF837">
      <w:pPr>
        <w:rPr>
          <w:sz w:val="22"/>
          <w:szCs w:val="22"/>
        </w:rPr>
      </w:pPr>
    </w:p>
    <w:p w:rsidR="00181894" w:rsidP="00181894" w:rsidRDefault="00181894" w14:paraId="08011539" w14:textId="77777777">
      <w:pPr>
        <w:rPr>
          <w:sz w:val="22"/>
          <w:szCs w:val="22"/>
        </w:rPr>
      </w:pPr>
    </w:p>
    <w:p w:rsidRPr="00067371" w:rsidR="00984476" w:rsidP="00181894" w:rsidRDefault="00984476" w14:paraId="1CFCF142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>Přílohy:</w:t>
      </w:r>
    </w:p>
    <w:p w:rsidRPr="00067371" w:rsidR="00984476" w:rsidP="00181894" w:rsidRDefault="00984476" w14:paraId="69B05F07" w14:textId="77777777">
      <w:pPr>
        <w:suppressAutoHyphens/>
        <w:jc w:val="both"/>
        <w:rPr>
          <w:b/>
          <w:sz w:val="22"/>
          <w:szCs w:val="22"/>
        </w:rPr>
      </w:pPr>
      <w:r w:rsidRPr="00067371">
        <w:rPr>
          <w:sz w:val="22"/>
          <w:szCs w:val="22"/>
        </w:rPr>
        <w:t>Příloha 1 – vzor dotačního programu</w:t>
      </w:r>
    </w:p>
    <w:p w:rsidRPr="00067371" w:rsidR="00984476" w:rsidP="00181894" w:rsidRDefault="00BE555E" w14:paraId="56FD9231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2 </w:t>
      </w:r>
      <w:r w:rsidRPr="00067371">
        <w:rPr>
          <w:sz w:val="22"/>
          <w:szCs w:val="22"/>
        </w:rPr>
        <w:t xml:space="preserve">- vzor žádosti o poskytnutí dotace </w:t>
      </w:r>
      <w:r w:rsidRPr="00067371" w:rsidR="0058332A">
        <w:rPr>
          <w:sz w:val="22"/>
          <w:szCs w:val="22"/>
        </w:rPr>
        <w:t>z programu</w:t>
      </w:r>
    </w:p>
    <w:p w:rsidRPr="00067371" w:rsidR="0058332A" w:rsidP="00181894" w:rsidRDefault="0058332A" w14:paraId="183635C1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>Příloha 3 - vzor žádosti o poskytnutí individuální dotace</w:t>
      </w:r>
    </w:p>
    <w:p w:rsidRPr="00067371" w:rsidR="00984476" w:rsidP="00181894" w:rsidRDefault="00BE555E" w14:paraId="3035B8AA" w14:textId="77777777">
      <w:pPr>
        <w:suppressAutoHyphens/>
        <w:jc w:val="both"/>
        <w:rPr>
          <w:b/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4 </w:t>
      </w:r>
      <w:r w:rsidRPr="00067371">
        <w:rPr>
          <w:sz w:val="22"/>
          <w:szCs w:val="22"/>
        </w:rPr>
        <w:t xml:space="preserve">– vzor čestného prohlášení de </w:t>
      </w:r>
      <w:proofErr w:type="spellStart"/>
      <w:r w:rsidRPr="00067371">
        <w:rPr>
          <w:sz w:val="22"/>
          <w:szCs w:val="22"/>
        </w:rPr>
        <w:t>minimis</w:t>
      </w:r>
      <w:proofErr w:type="spellEnd"/>
    </w:p>
    <w:p w:rsidRPr="00067371" w:rsidR="00984476" w:rsidP="00181894" w:rsidRDefault="00BE555E" w14:paraId="14CFB7A3" w14:textId="77777777">
      <w:pPr>
        <w:suppressAutoHyphens/>
        <w:jc w:val="both"/>
        <w:rPr>
          <w:b/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5 </w:t>
      </w:r>
      <w:r w:rsidRPr="00067371">
        <w:rPr>
          <w:sz w:val="22"/>
          <w:szCs w:val="22"/>
        </w:rPr>
        <w:t>– vzor veřejnoprávní smlouvy</w:t>
      </w:r>
    </w:p>
    <w:p w:rsidRPr="00067371" w:rsidR="0058332A" w:rsidP="00181894" w:rsidRDefault="00BE555E" w14:paraId="781C25C1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 xml:space="preserve">Příloha </w:t>
      </w:r>
      <w:r w:rsidRPr="00067371" w:rsidR="0058332A">
        <w:rPr>
          <w:sz w:val="22"/>
          <w:szCs w:val="22"/>
        </w:rPr>
        <w:t xml:space="preserve">6 </w:t>
      </w:r>
      <w:r w:rsidRPr="00067371">
        <w:rPr>
          <w:sz w:val="22"/>
          <w:szCs w:val="22"/>
        </w:rPr>
        <w:t>– vzor finančního vypořádání</w:t>
      </w:r>
    </w:p>
    <w:p w:rsidRPr="00067371" w:rsidR="0058332A" w:rsidP="00181894" w:rsidRDefault="0058332A" w14:paraId="6FFEFD38" w14:textId="77777777">
      <w:pPr>
        <w:suppressAutoHyphens/>
        <w:jc w:val="both"/>
        <w:rPr>
          <w:sz w:val="22"/>
          <w:szCs w:val="22"/>
        </w:rPr>
      </w:pPr>
      <w:r w:rsidRPr="00067371">
        <w:rPr>
          <w:sz w:val="22"/>
          <w:szCs w:val="22"/>
        </w:rPr>
        <w:t>Příloha 7 – vzor rozhodnutí o neposkytnutí dotace</w:t>
      </w:r>
    </w:p>
    <w:p w:rsidRPr="00067371" w:rsidR="00984476" w:rsidP="00181894" w:rsidRDefault="0058332A" w14:paraId="1F66463B" w14:textId="34C905E2">
      <w:pPr>
        <w:suppressAutoHyphens/>
        <w:jc w:val="both"/>
        <w:rPr>
          <w:b/>
          <w:bCs/>
          <w:sz w:val="22"/>
          <w:szCs w:val="22"/>
        </w:rPr>
      </w:pPr>
      <w:r w:rsidRPr="6F53692B">
        <w:rPr>
          <w:sz w:val="22"/>
          <w:szCs w:val="22"/>
        </w:rPr>
        <w:t xml:space="preserve">Příloha 8 – vzor </w:t>
      </w:r>
      <w:r w:rsidRPr="6F53692B" w:rsidR="00D83452">
        <w:rPr>
          <w:noProof/>
          <w:sz w:val="22"/>
          <w:szCs w:val="22"/>
        </w:rPr>
        <w:t>výzvy</w:t>
      </w:r>
      <w:r w:rsidRPr="6F53692B" w:rsidR="00D83452">
        <w:rPr>
          <w:b/>
          <w:bCs/>
          <w:noProof/>
          <w:sz w:val="22"/>
          <w:szCs w:val="22"/>
        </w:rPr>
        <w:t xml:space="preserve"> </w:t>
      </w:r>
      <w:r w:rsidRPr="6F53692B" w:rsidR="00D83452">
        <w:rPr>
          <w:noProof/>
          <w:sz w:val="22"/>
          <w:szCs w:val="22"/>
        </w:rPr>
        <w:t>k vrácení dotace</w:t>
      </w:r>
    </w:p>
    <w:p w:rsidRPr="00067371" w:rsidR="00E821E8" w:rsidP="00181894" w:rsidRDefault="00E821E8" w14:paraId="255A0ED6" w14:textId="2D01D1B8">
      <w:pPr>
        <w:suppressAutoHyphens/>
        <w:jc w:val="both"/>
        <w:rPr>
          <w:b/>
          <w:bCs/>
          <w:sz w:val="22"/>
          <w:szCs w:val="22"/>
        </w:rPr>
      </w:pPr>
      <w:r w:rsidRPr="6F53692B">
        <w:rPr>
          <w:sz w:val="22"/>
          <w:szCs w:val="22"/>
        </w:rPr>
        <w:t xml:space="preserve">Příloha </w:t>
      </w:r>
      <w:r>
        <w:rPr>
          <w:sz w:val="22"/>
          <w:szCs w:val="22"/>
        </w:rPr>
        <w:t>9</w:t>
      </w:r>
      <w:r w:rsidRPr="6F53692B">
        <w:rPr>
          <w:sz w:val="22"/>
          <w:szCs w:val="22"/>
        </w:rPr>
        <w:t xml:space="preserve"> – vzor </w:t>
      </w:r>
      <w:r w:rsidRPr="6F53692B">
        <w:rPr>
          <w:noProof/>
          <w:sz w:val="22"/>
          <w:szCs w:val="22"/>
        </w:rPr>
        <w:t>výzvy</w:t>
      </w:r>
      <w:r w:rsidRPr="6F53692B">
        <w:rPr>
          <w:b/>
          <w:bCs/>
          <w:noProof/>
          <w:sz w:val="22"/>
          <w:szCs w:val="22"/>
        </w:rPr>
        <w:t xml:space="preserve"> </w:t>
      </w:r>
      <w:r w:rsidRPr="6F53692B">
        <w:rPr>
          <w:noProof/>
          <w:sz w:val="22"/>
          <w:szCs w:val="22"/>
        </w:rPr>
        <w:t>k opatření k nápravě/vrácení dotace</w:t>
      </w:r>
    </w:p>
    <w:p w:rsidRPr="00984476" w:rsidR="00984476" w:rsidP="00181894" w:rsidRDefault="00984476" w14:paraId="6B62F1B3" w14:textId="77777777">
      <w:pPr>
        <w:suppressAutoHyphens/>
        <w:jc w:val="both"/>
        <w:rPr>
          <w:sz w:val="22"/>
          <w:szCs w:val="22"/>
        </w:rPr>
      </w:pPr>
    </w:p>
    <w:p w:rsidR="005E7C99" w:rsidP="00181894" w:rsidRDefault="005E7C99" w14:paraId="680A4E5D" w14:textId="77777777">
      <w:pPr>
        <w:suppressAutoHyphens/>
        <w:jc w:val="both"/>
        <w:rPr>
          <w:sz w:val="22"/>
          <w:szCs w:val="22"/>
        </w:rPr>
      </w:pPr>
    </w:p>
    <w:p w:rsidRPr="00984476" w:rsidR="005E7C99" w:rsidP="00181894" w:rsidRDefault="005E7C99" w14:paraId="19219836" w14:textId="77777777">
      <w:pPr>
        <w:suppressAutoHyphens/>
        <w:jc w:val="both"/>
        <w:rPr>
          <w:sz w:val="22"/>
          <w:szCs w:val="22"/>
        </w:rPr>
      </w:pPr>
    </w:p>
    <w:p w:rsidRPr="00984476" w:rsidR="00984476" w:rsidP="00181894" w:rsidRDefault="00984476" w14:paraId="7194DBDC" w14:textId="77777777">
      <w:pPr>
        <w:suppressAutoHyphens/>
        <w:rPr>
          <w:sz w:val="22"/>
          <w:szCs w:val="22"/>
        </w:rPr>
      </w:pPr>
    </w:p>
    <w:p w:rsidRPr="00984476" w:rsidR="00984476" w:rsidP="00181894" w:rsidRDefault="00984476" w14:paraId="54CD245A" w14:textId="77777777">
      <w:pPr>
        <w:suppressAutoHyphens/>
        <w:rPr>
          <w:sz w:val="22"/>
          <w:szCs w:val="22"/>
        </w:rPr>
      </w:pPr>
    </w:p>
    <w:p w:rsidR="002335CF" w:rsidP="00181894" w:rsidRDefault="00C42A75" w14:paraId="146474B8" w14:textId="173AEE8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1B5F87">
        <w:rPr>
          <w:sz w:val="22"/>
          <w:szCs w:val="22"/>
        </w:rPr>
        <w:t>Petr</w:t>
      </w:r>
      <w:r>
        <w:rPr>
          <w:sz w:val="22"/>
          <w:szCs w:val="22"/>
        </w:rPr>
        <w:t xml:space="preserve"> Kulhánek</w:t>
      </w:r>
      <w:r w:rsidR="000577B9">
        <w:rPr>
          <w:sz w:val="22"/>
          <w:szCs w:val="22"/>
        </w:rPr>
        <w:t>, v.r.</w:t>
      </w:r>
      <w:bookmarkStart w:name="_GoBack" w:id="73"/>
      <w:bookmarkEnd w:id="73"/>
    </w:p>
    <w:p w:rsidR="00C42A75" w:rsidP="00181894" w:rsidRDefault="00C42A75" w14:paraId="7B641460" w14:textId="79EA4BA6">
      <w:pPr>
        <w:suppressAutoHyphens/>
        <w:jc w:val="both"/>
        <w:rPr>
          <w:sz w:val="24"/>
        </w:rPr>
      </w:pPr>
      <w:r>
        <w:rPr>
          <w:sz w:val="22"/>
          <w:szCs w:val="22"/>
        </w:rPr>
        <w:t>hejtman</w:t>
      </w:r>
      <w:r w:rsidR="00181894">
        <w:rPr>
          <w:sz w:val="22"/>
          <w:szCs w:val="22"/>
        </w:rPr>
        <w:t xml:space="preserve"> Karlovarského kraje</w:t>
      </w:r>
    </w:p>
    <w:sectPr w:rsidR="00C42A75">
      <w:footerReference w:type="even" r:id="rId17"/>
      <w:footerReference w:type="default" r:id="rId18"/>
      <w:headerReference w:type="first" r:id="rId19"/>
      <w:footerReference w:type="first" r:id="rId20"/>
      <w:pgSz w:w="11904" w:h="16834" w:orient="portrait" w:code="9"/>
      <w:pgMar w:top="1418" w:right="1134" w:bottom="1242" w:left="1134" w:header="567" w:footer="567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63" w:rsidRDefault="003A7A63" w14:paraId="067E8C09" w14:textId="77777777">
      <w:r>
        <w:separator/>
      </w:r>
    </w:p>
  </w:endnote>
  <w:endnote w:type="continuationSeparator" w:id="0">
    <w:p w:rsidR="003A7A63" w:rsidRDefault="003A7A63" w14:paraId="7F9E5A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A63" w:rsidRDefault="003A7A63" w14:paraId="0364BA1D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7A63" w:rsidRDefault="003A7A63" w14:paraId="238601FE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F27D4" w:rsidR="003A7A63" w:rsidP="00C171DA" w:rsidRDefault="003A7A63" w14:paraId="0B8761F4" w14:textId="6ACF9AC7">
    <w:pPr>
      <w:pStyle w:val="Zpat"/>
      <w:tabs>
        <w:tab w:val="clear" w:pos="9072"/>
        <w:tab w:val="center" w:pos="4818"/>
        <w:tab w:val="right" w:pos="9639"/>
      </w:tabs>
      <w:jc w:val="center"/>
    </w:pPr>
    <w:r w:rsidRPr="00DF27D4">
      <w:fldChar w:fldCharType="begin"/>
    </w:r>
    <w:r w:rsidRPr="00DF27D4">
      <w:instrText xml:space="preserve"> PAGE </w:instrText>
    </w:r>
    <w:r w:rsidRPr="00DF27D4">
      <w:fldChar w:fldCharType="separate"/>
    </w:r>
    <w:r>
      <w:rPr>
        <w:noProof/>
      </w:rPr>
      <w:t>2</w:t>
    </w:r>
    <w:r w:rsidRPr="00DF27D4">
      <w:fldChar w:fldCharType="end"/>
    </w:r>
    <w:r>
      <w:t xml:space="preserve"> </w:t>
    </w:r>
    <w:r w:rsidRPr="00DF27D4">
      <w:t xml:space="preserve">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A63" w:rsidRDefault="003A7A63" w14:paraId="30D7AA69" w14:textId="77777777">
    <w:pPr>
      <w:pStyle w:val="Zpat"/>
      <w:tabs>
        <w:tab w:val="center" w:pos="4818"/>
      </w:tabs>
      <w:rPr>
        <w:sz w:val="16"/>
      </w:rPr>
    </w:pPr>
  </w:p>
  <w:p w:rsidR="003A7A63" w:rsidRDefault="003A7A63" w14:paraId="50334138" w14:textId="7FA2DEAD">
    <w:pPr>
      <w:pStyle w:val="Zpat"/>
      <w:tabs>
        <w:tab w:val="clear" w:pos="9072"/>
        <w:tab w:val="center" w:pos="4818"/>
        <w:tab w:val="right" w:pos="963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63" w:rsidRDefault="003A7A63" w14:paraId="62F77DC6" w14:textId="77777777">
      <w:r>
        <w:separator/>
      </w:r>
    </w:p>
  </w:footnote>
  <w:footnote w:type="continuationSeparator" w:id="0">
    <w:p w:rsidR="003A7A63" w:rsidRDefault="003A7A63" w14:paraId="7A870F9F" w14:textId="77777777">
      <w:r>
        <w:continuationSeparator/>
      </w:r>
    </w:p>
  </w:footnote>
  <w:footnote w:id="1">
    <w:p w:rsidRPr="00B667FB" w:rsidR="003A7A63" w:rsidP="005A2F4A" w:rsidRDefault="003A7A63" w14:paraId="1CA7AE73" w14:textId="77777777">
      <w:pPr>
        <w:pStyle w:val="Textpoznpodarou"/>
        <w:jc w:val="both"/>
        <w:rPr>
          <w:b/>
        </w:rPr>
      </w:pPr>
      <w:r w:rsidRPr="00B667FB">
        <w:rPr>
          <w:rStyle w:val="Znakapoznpodarou"/>
        </w:rPr>
        <w:footnoteRef/>
      </w:r>
      <w:r w:rsidRPr="00B667FB">
        <w:t xml:space="preserve"> § 10a – 10d zákona</w:t>
      </w:r>
      <w:r>
        <w:t xml:space="preserve"> č.</w:t>
      </w:r>
      <w:r w:rsidRPr="00B667FB">
        <w:t xml:space="preserve"> 250/2000 Sb., o rozpočtových pravidlech územních rozpočtů, ve znění pozdějších předpisů</w:t>
      </w:r>
      <w:r>
        <w:t>.</w:t>
      </w:r>
    </w:p>
  </w:footnote>
  <w:footnote w:id="2">
    <w:p w:rsidR="003A7A63" w:rsidP="002108ED" w:rsidRDefault="003A7A63" w14:paraId="389670FE" w14:textId="59CEC50B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CF60E4">
        <w:t>Např.</w:t>
      </w:r>
      <w:r>
        <w:t xml:space="preserve"> s</w:t>
      </w:r>
      <w:r w:rsidRPr="00B667FB">
        <w:t xml:space="preserve">měrnice ředitelky krajského úřadu </w:t>
      </w:r>
      <w:r>
        <w:t xml:space="preserve">č. </w:t>
      </w:r>
      <w:r w:rsidRPr="00B667FB">
        <w:t>SE 05/2017, o plnění povinností Karlovarského kraje, jakožto</w:t>
      </w:r>
      <w:r>
        <w:t> </w:t>
      </w:r>
      <w:r w:rsidRPr="00B667FB">
        <w:t>poskytovatele veřejné podpory malého rozsahu</w:t>
      </w:r>
      <w:r>
        <w:t>.</w:t>
      </w:r>
    </w:p>
  </w:footnote>
  <w:footnote w:id="3">
    <w:p w:rsidRPr="000215E4" w:rsidR="003A7A63" w:rsidP="00593828" w:rsidRDefault="003A7A63" w14:paraId="1DE92F7F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</w:t>
      </w:r>
      <w:r w:rsidRPr="000215E4">
        <w:t xml:space="preserve">ákon </w:t>
      </w:r>
      <w:r>
        <w:t xml:space="preserve">č. </w:t>
      </w:r>
      <w:r w:rsidRPr="000215E4">
        <w:t>182/2006 Sb., o úpadku a způsobech jeho řešení (insolvenční zákon), ve znění pozdějších předpisů</w:t>
      </w:r>
      <w:r>
        <w:t>.</w:t>
      </w:r>
    </w:p>
  </w:footnote>
  <w:footnote w:id="4">
    <w:p w:rsidR="003A7A63" w:rsidP="2CE807FD" w:rsidRDefault="003A7A63" w14:paraId="4F6E2547" w14:textId="354C9C34">
      <w:pPr>
        <w:pStyle w:val="Textpoznpodarou"/>
      </w:pPr>
      <w:r w:rsidRPr="2CE807FD">
        <w:rPr>
          <w:rStyle w:val="Znakapoznpodarou"/>
        </w:rPr>
        <w:footnoteRef/>
      </w:r>
      <w:r>
        <w:t xml:space="preserve"> Zákon č. 69/2006 Sb., o provádění mezinárodních sankcí. </w:t>
      </w:r>
    </w:p>
    <w:p w:rsidR="003A7A63" w:rsidP="002108ED" w:rsidRDefault="003A7A63" w14:paraId="519E3A7F" w14:textId="76BA6EA8">
      <w:pPr>
        <w:pStyle w:val="Textpoznpodarou"/>
        <w:ind w:left="142"/>
      </w:pPr>
      <w:r>
        <w:t>Zákon č. 1/2023 Sb., o omezujících opatřeních proti některým závažným jednáním uplatňovaných v mezinárodních vztazích (sankční zákon).</w:t>
      </w:r>
    </w:p>
  </w:footnote>
  <w:footnote w:id="5">
    <w:p w:rsidR="003A7A63" w:rsidRDefault="003A7A63" w14:paraId="24289F22" w14:textId="0CB99B13">
      <w:pPr>
        <w:pStyle w:val="Textpoznpodarou"/>
      </w:pPr>
      <w:r>
        <w:rPr>
          <w:rStyle w:val="Znakapoznpodarou"/>
        </w:rPr>
        <w:footnoteRef/>
      </w:r>
      <w:r>
        <w:t xml:space="preserve"> § 10a zákona č. 250/2000 Sb.</w:t>
      </w:r>
    </w:p>
  </w:footnote>
  <w:footnote w:id="6">
    <w:p w:rsidR="003A7A63" w:rsidRDefault="003A7A63" w14:paraId="40F9CCB6" w14:textId="477EE57E">
      <w:pPr>
        <w:pStyle w:val="Textpoznpodarou"/>
      </w:pPr>
      <w:r>
        <w:rPr>
          <w:rStyle w:val="Znakapoznpodarou"/>
        </w:rPr>
        <w:footnoteRef/>
      </w:r>
      <w:r>
        <w:t xml:space="preserve"> Zákon č. 129/2000 Sb., o krajích (krajské zřízení), ve znění pozdějších předpisů.</w:t>
      </w:r>
    </w:p>
  </w:footnote>
  <w:footnote w:id="7">
    <w:p w:rsidRPr="00157503" w:rsidR="003A7A63" w:rsidP="00593828" w:rsidRDefault="003A7A63" w14:paraId="37970DE8" w14:textId="63FD32BF">
      <w:pPr>
        <w:pStyle w:val="Textpoznpodarou"/>
        <w:ind w:left="142" w:hanging="142"/>
        <w:jc w:val="both"/>
        <w:rPr>
          <w:b/>
        </w:rPr>
      </w:pPr>
      <w:r w:rsidRPr="00157503">
        <w:rPr>
          <w:rStyle w:val="Znakapoznpodarou"/>
        </w:rPr>
        <w:footnoteRef/>
      </w:r>
      <w:r w:rsidRPr="00157503">
        <w:t xml:space="preserve"> Předpis rady kraje </w:t>
      </w:r>
      <w:r>
        <w:t xml:space="preserve">č. </w:t>
      </w:r>
      <w:r w:rsidRPr="00157503">
        <w:t>PR 03/</w:t>
      </w:r>
      <w:r>
        <w:t>2021</w:t>
      </w:r>
      <w:r w:rsidRPr="00157503">
        <w:t>, Pravidla pro přípravu a předkládání materiálů pro jednání rady a zastupitelstva kraje.</w:t>
      </w:r>
    </w:p>
  </w:footnote>
  <w:footnote w:id="8">
    <w:p w:rsidRPr="00157503" w:rsidR="003A7A63" w:rsidP="00593828" w:rsidRDefault="003A7A63" w14:paraId="5BE5395B" w14:textId="77777777">
      <w:pPr>
        <w:pStyle w:val="Textpoznpodarou"/>
        <w:ind w:left="142" w:hanging="142"/>
        <w:jc w:val="both"/>
        <w:rPr>
          <w:b/>
        </w:rPr>
      </w:pPr>
      <w:r w:rsidRPr="00157503">
        <w:rPr>
          <w:rStyle w:val="Znakapoznpodarou"/>
        </w:rPr>
        <w:footnoteRef/>
      </w:r>
      <w:r w:rsidRPr="00157503">
        <w:t xml:space="preserve"> Například zákon</w:t>
      </w:r>
      <w:r>
        <w:t xml:space="preserve"> č.</w:t>
      </w:r>
      <w:r w:rsidRPr="00157503">
        <w:t xml:space="preserve"> </w:t>
      </w:r>
      <w:r w:rsidRPr="00593828">
        <w:t>110/2019 Sb.</w:t>
      </w:r>
      <w:r w:rsidRPr="00157503">
        <w:t>, o zpracování osobních údajů.</w:t>
      </w:r>
    </w:p>
  </w:footnote>
  <w:footnote w:id="9">
    <w:p w:rsidRPr="0085409D" w:rsidR="003A7A63" w:rsidP="002108ED" w:rsidRDefault="003A7A63" w14:paraId="43DDE8F0" w14:textId="66D1594F">
      <w:pPr>
        <w:pStyle w:val="Textpoznpodarou"/>
        <w:ind w:left="142" w:hanging="142"/>
        <w:jc w:val="both"/>
      </w:pPr>
      <w:r w:rsidRPr="0085409D">
        <w:rPr>
          <w:rStyle w:val="Znakapoznpodarou"/>
        </w:rPr>
        <w:footnoteRef/>
      </w:r>
      <w:r w:rsidRPr="0085409D">
        <w:t xml:space="preserve"> § 10d zákona</w:t>
      </w:r>
      <w:r>
        <w:t xml:space="preserve"> č.</w:t>
      </w:r>
      <w:r w:rsidRPr="0085409D">
        <w:t xml:space="preserve"> 250/2000 Sb.</w:t>
      </w:r>
      <w:r>
        <w:t xml:space="preserve">, o rozpočtových pravidlech územních rozpočtů, ve znění pozdějších předpisů a § 8 odst. 5 písm. a) zákona č. 340/2015 Sb., o </w:t>
      </w:r>
      <w:r w:rsidRPr="00653391">
        <w:t>zvláštních podmínkách účinnosti některých smluv, uveřejňování těchto smluv a o registru smluv (zákon o registru smluv)</w:t>
      </w:r>
      <w:r>
        <w:t>, ve znění pozdějších předpisů.</w:t>
      </w:r>
    </w:p>
  </w:footnote>
  <w:footnote w:id="10">
    <w:p w:rsidRPr="00761778" w:rsidR="003A7A63" w:rsidP="00593828" w:rsidRDefault="003A7A63" w14:paraId="4A0FCBBD" w14:textId="4ECB5E90">
      <w:pPr>
        <w:pStyle w:val="Textpoznpodarou"/>
        <w:jc w:val="both"/>
        <w:rPr>
          <w:b/>
        </w:rPr>
      </w:pPr>
      <w:r w:rsidRPr="00761778">
        <w:rPr>
          <w:rStyle w:val="Znakapoznpodarou"/>
        </w:rPr>
        <w:footnoteRef/>
      </w:r>
      <w:r w:rsidRPr="00761778">
        <w:t xml:space="preserve"> Směrnice </w:t>
      </w:r>
      <w:r>
        <w:t>ředitelky</w:t>
      </w:r>
      <w:r w:rsidRPr="00761778">
        <w:t xml:space="preserve"> krajského úřadu </w:t>
      </w:r>
      <w:r>
        <w:t xml:space="preserve">č. </w:t>
      </w:r>
      <w:r w:rsidRPr="00761778">
        <w:t xml:space="preserve">SE </w:t>
      </w:r>
      <w:r>
        <w:t>01/2020,</w:t>
      </w:r>
      <w:r w:rsidRPr="00761778">
        <w:t xml:space="preserve"> Oběh účetních dokladů</w:t>
      </w:r>
      <w:r>
        <w:t>.</w:t>
      </w:r>
    </w:p>
  </w:footnote>
  <w:footnote w:id="11">
    <w:p w:rsidRPr="00761778" w:rsidR="003A7A63" w:rsidP="00593828" w:rsidRDefault="003A7A63" w14:paraId="299D714D" w14:textId="381AE0E8">
      <w:pPr>
        <w:pStyle w:val="Textpoznpodarou"/>
        <w:jc w:val="both"/>
        <w:rPr>
          <w:b/>
        </w:rPr>
      </w:pPr>
      <w:r w:rsidRPr="00761778">
        <w:rPr>
          <w:rStyle w:val="Znakapoznpodarou"/>
        </w:rPr>
        <w:footnoteRef/>
      </w:r>
      <w:r w:rsidRPr="00761778">
        <w:t xml:space="preserve"> </w:t>
      </w:r>
      <w:r>
        <w:t>Příloha 11 s</w:t>
      </w:r>
      <w:r w:rsidRPr="00761778">
        <w:t xml:space="preserve">měrnice </w:t>
      </w:r>
      <w:r>
        <w:t>ředitelky krajského úřadu č. SE 01/2020,</w:t>
      </w:r>
      <w:r w:rsidRPr="00761778">
        <w:t xml:space="preserve"> Oběh účetních dokladů</w:t>
      </w:r>
      <w:r>
        <w:t>.</w:t>
      </w:r>
    </w:p>
  </w:footnote>
  <w:footnote w:id="12">
    <w:p w:rsidRPr="003525F2" w:rsidR="003A7A63" w:rsidP="00984476" w:rsidRDefault="003A7A63" w14:paraId="7B212523" w14:textId="77777777">
      <w:pPr>
        <w:pStyle w:val="Textpoznpodarou"/>
        <w:rPr>
          <w:b/>
        </w:rPr>
      </w:pPr>
      <w:r w:rsidRPr="003525F2">
        <w:rPr>
          <w:rStyle w:val="Znakapoznpodarou"/>
        </w:rPr>
        <w:footnoteRef/>
      </w:r>
      <w:r w:rsidRPr="003525F2">
        <w:t xml:space="preserve"> § 22 odst. 6 zák</w:t>
      </w:r>
      <w:r>
        <w:t>ona</w:t>
      </w:r>
      <w:r w:rsidRPr="003525F2">
        <w:t xml:space="preserve"> </w:t>
      </w:r>
      <w:r>
        <w:t xml:space="preserve">č. </w:t>
      </w:r>
      <w:r w:rsidRPr="003525F2">
        <w:t>250/2000 Sb.</w:t>
      </w:r>
    </w:p>
  </w:footnote>
  <w:footnote w:id="13">
    <w:p w:rsidR="003A7A63" w:rsidP="00BA3C71" w:rsidRDefault="003A7A63" w14:paraId="62A4DF0F" w14:textId="77777777">
      <w:pPr>
        <w:pStyle w:val="Textpoznpodarou"/>
      </w:pPr>
      <w:r>
        <w:rPr>
          <w:rStyle w:val="Znakapoznpodarou"/>
        </w:rPr>
        <w:footnoteRef/>
      </w:r>
      <w:r>
        <w:t xml:space="preserve"> § 22 odst. 3 zákona č. 250/2000 Sb.</w:t>
      </w:r>
    </w:p>
  </w:footnote>
  <w:footnote w:id="14">
    <w:p w:rsidR="003A7A63" w:rsidP="00984476" w:rsidRDefault="003A7A63" w14:paraId="687F19C5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6189">
        <w:t xml:space="preserve">§ 22 </w:t>
      </w:r>
      <w:r>
        <w:t xml:space="preserve">a § 28 </w:t>
      </w:r>
      <w:r w:rsidRPr="00246189">
        <w:t xml:space="preserve">zákona </w:t>
      </w:r>
      <w:r>
        <w:t xml:space="preserve">č. </w:t>
      </w:r>
      <w:r w:rsidRPr="00246189">
        <w:t>250/2000 Sb.</w:t>
      </w:r>
    </w:p>
  </w:footnote>
  <w:footnote w:id="15">
    <w:p w:rsidR="003A7A63" w:rsidP="002108ED" w:rsidRDefault="003A7A63" w14:paraId="519D08AD" w14:textId="22452EE5">
      <w:pPr>
        <w:pStyle w:val="Textpoznpodarou"/>
        <w:ind w:left="227" w:hanging="227"/>
        <w:jc w:val="both"/>
      </w:pPr>
      <w:r w:rsidRPr="003D3868">
        <w:rPr>
          <w:rStyle w:val="Znakapoznpodarou"/>
        </w:rPr>
        <w:footnoteRef/>
      </w:r>
      <w:r w:rsidRPr="003D3868">
        <w:t xml:space="preserve"> </w:t>
      </w:r>
      <w:r>
        <w:t xml:space="preserve">Zákon č. </w:t>
      </w:r>
      <w:r w:rsidRPr="00246189">
        <w:t>320/200</w:t>
      </w:r>
      <w:r>
        <w:t>1</w:t>
      </w:r>
      <w:r w:rsidRPr="00246189">
        <w:t xml:space="preserve"> Sb., o finanční kontrole ve veřejné správě a o změně některých zákonů (zákon o finanční kontrole), ve znění pozdějších předpisů</w:t>
      </w:r>
      <w:r>
        <w:t>.</w:t>
      </w:r>
    </w:p>
    <w:p w:rsidRPr="003D3868" w:rsidR="003A7A63" w:rsidP="002108ED" w:rsidRDefault="003A7A63" w14:paraId="06EDC3DE" w14:textId="7A3307B5">
      <w:pPr>
        <w:pStyle w:val="Textpoznpodarou"/>
        <w:ind w:left="227"/>
        <w:jc w:val="both"/>
        <w:rPr>
          <w:b/>
        </w:rPr>
      </w:pPr>
      <w:r>
        <w:t>Zákon č. 255/2012 Sb., o kontrole (kontrolní řád), ve znění pozdějších předpisů.</w:t>
      </w:r>
    </w:p>
  </w:footnote>
  <w:footnote w:id="16">
    <w:p w:rsidRPr="003931B5" w:rsidR="003A7A63" w:rsidP="00593828" w:rsidRDefault="003A7A63" w14:paraId="0FF76C04" w14:textId="220F9301">
      <w:pPr>
        <w:pStyle w:val="Textpoznpodarou"/>
        <w:jc w:val="both"/>
        <w:rPr>
          <w:b/>
        </w:rPr>
      </w:pPr>
      <w:r w:rsidRPr="003931B5">
        <w:rPr>
          <w:rStyle w:val="Znakapoznpodarou"/>
        </w:rPr>
        <w:footnoteRef/>
      </w:r>
      <w:r w:rsidRPr="003931B5">
        <w:t xml:space="preserve"> Řád ředitelky krajského úřadu </w:t>
      </w:r>
      <w:r>
        <w:t xml:space="preserve">č. </w:t>
      </w:r>
      <w:r w:rsidRPr="003931B5">
        <w:t>R 06/2018</w:t>
      </w:r>
      <w:r>
        <w:t>,</w:t>
      </w:r>
      <w:r w:rsidRPr="003931B5">
        <w:t xml:space="preserve"> Kontrolní řád</w:t>
      </w:r>
      <w:r>
        <w:t>.</w:t>
      </w:r>
    </w:p>
  </w:footnote>
  <w:footnote w:id="17">
    <w:p w:rsidR="003A7A63" w:rsidP="002108ED" w:rsidRDefault="003A7A63" w14:paraId="3D8508C0" w14:textId="55E9C449">
      <w:pPr>
        <w:pStyle w:val="Textpoznpodarou"/>
        <w:ind w:left="227" w:hanging="227"/>
      </w:pPr>
      <w:r>
        <w:rPr>
          <w:rStyle w:val="Znakapoznpodarou"/>
        </w:rPr>
        <w:footnoteRef/>
      </w:r>
      <w:r>
        <w:t xml:space="preserve"> Pokyn ředitelky krajského úřadu č. PO 01/2022, Varianty a procesní průběh veřejnosprávní kontroly v samostatné působnosti Karlovarského kraje.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Pr="00DF27D4" w:rsidR="003A7A63" w:rsidRDefault="003A7A63" w14:paraId="5A9944BC" w14:textId="77777777">
    <w:pPr>
      <w:pStyle w:val="Zhlav"/>
      <w:jc w:val="center"/>
      <w:rPr>
        <w:rFonts w:ascii="Arial Black" w:hAnsi="Arial Black"/>
        <w:sz w:val="36"/>
        <w:szCs w:val="36"/>
      </w:rPr>
    </w:pPr>
    <w:r w:rsidRPr="00DF27D4">
      <w:rPr>
        <w:rFonts w:ascii="Arial Black" w:hAnsi="Arial Black"/>
        <w:sz w:val="36"/>
        <w:szCs w:val="36"/>
      </w:rPr>
      <w:t>KARLOVARSKÝ KRAJ</w:t>
    </w:r>
  </w:p>
  <w:p w:rsidRPr="00DB55B3" w:rsidR="003A7A63" w:rsidP="00DB55B3" w:rsidRDefault="003A7A63" w14:paraId="4E5210BB" w14:textId="77777777">
    <w:pPr>
      <w:pStyle w:val="Zhlav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629ABB6E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242569</wp:posOffset>
              </wp:positionV>
              <wp:extent cx="612013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19.1pt" to="481.9pt,19.1pt" w14:anchorId="1AC302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LL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"/>
          </w:pict>
        </mc:Fallback>
      </mc:AlternateContent>
    </w:r>
    <w:r w:rsidRPr="00DB55B3">
      <w:rPr>
        <w:rFonts w:ascii="Arial Black" w:hAnsi="Arial Black"/>
        <w:sz w:val="24"/>
        <w:szCs w:val="24"/>
      </w:rPr>
      <w:t>RADA KRAJE</w:t>
    </w:r>
  </w:p>
  <w:p w:rsidRPr="00DB55B3" w:rsidR="003A7A63" w:rsidRDefault="003A7A63" w14:paraId="7196D064" w14:textId="77777777">
    <w:pPr>
      <w:pStyle w:val="Zhlav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373"/>
    <w:multiLevelType w:val="multilevel"/>
    <w:tmpl w:val="59A688C8"/>
    <w:lvl w:ilvl="0">
      <w:start w:val="2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023390"/>
    <w:multiLevelType w:val="multilevel"/>
    <w:tmpl w:val="F82C655A"/>
    <w:numStyleLink w:val="Pedpisy97"/>
  </w:abstractNum>
  <w:abstractNum w:abstractNumId="2" w15:restartNumberingAfterBreak="0">
    <w:nsid w:val="026462BF"/>
    <w:multiLevelType w:val="hybridMultilevel"/>
    <w:tmpl w:val="23D61784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EF184A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401345"/>
    <w:multiLevelType w:val="multilevel"/>
    <w:tmpl w:val="F82C655A"/>
    <w:numStyleLink w:val="Pedpisy97"/>
  </w:abstractNum>
  <w:abstractNum w:abstractNumId="5" w15:restartNumberingAfterBreak="0">
    <w:nsid w:val="060E7E21"/>
    <w:multiLevelType w:val="multilevel"/>
    <w:tmpl w:val="F82C655A"/>
    <w:numStyleLink w:val="Pedpisy97"/>
  </w:abstractNum>
  <w:abstractNum w:abstractNumId="6" w15:restartNumberingAfterBreak="0">
    <w:nsid w:val="07A04406"/>
    <w:multiLevelType w:val="multilevel"/>
    <w:tmpl w:val="F82C655A"/>
    <w:numStyleLink w:val="Pedpisy97"/>
  </w:abstractNum>
  <w:abstractNum w:abstractNumId="7" w15:restartNumberingAfterBreak="0">
    <w:nsid w:val="07AF6E1F"/>
    <w:multiLevelType w:val="multilevel"/>
    <w:tmpl w:val="F82C655A"/>
    <w:numStyleLink w:val="Pedpisy97"/>
  </w:abstractNum>
  <w:abstractNum w:abstractNumId="8" w15:restartNumberingAfterBreak="0">
    <w:nsid w:val="0ACE3CDF"/>
    <w:multiLevelType w:val="multilevel"/>
    <w:tmpl w:val="F82C655A"/>
    <w:numStyleLink w:val="Pedpisy97"/>
  </w:abstractNum>
  <w:abstractNum w:abstractNumId="9" w15:restartNumberingAfterBreak="0">
    <w:nsid w:val="0B9202D0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E213F22"/>
    <w:multiLevelType w:val="multilevel"/>
    <w:tmpl w:val="F82C655A"/>
    <w:numStyleLink w:val="Pedpisy97"/>
  </w:abstractNum>
  <w:abstractNum w:abstractNumId="11" w15:restartNumberingAfterBreak="0">
    <w:nsid w:val="16D46898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73E4DAB"/>
    <w:multiLevelType w:val="hybridMultilevel"/>
    <w:tmpl w:val="DFD6CBCC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lowerRoman"/>
      <w:lvlText w:val="%2."/>
      <w:lvlJc w:val="righ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A46122"/>
    <w:multiLevelType w:val="hybridMultilevel"/>
    <w:tmpl w:val="B7420BAC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BC629E62">
      <w:start w:val="1"/>
      <w:numFmt w:val="lowerLetter"/>
      <w:lvlText w:val="c%2."/>
      <w:lvlJc w:val="left"/>
      <w:pPr>
        <w:ind w:left="3338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94DEC"/>
    <w:multiLevelType w:val="multilevel"/>
    <w:tmpl w:val="F82C655A"/>
    <w:numStyleLink w:val="Pedpisy97"/>
  </w:abstractNum>
  <w:abstractNum w:abstractNumId="15" w15:restartNumberingAfterBreak="0">
    <w:nsid w:val="219A3E1E"/>
    <w:multiLevelType w:val="multilevel"/>
    <w:tmpl w:val="F82C655A"/>
    <w:numStyleLink w:val="Pedpisy97"/>
  </w:abstractNum>
  <w:abstractNum w:abstractNumId="16" w15:restartNumberingAfterBreak="0">
    <w:nsid w:val="22647DEB"/>
    <w:multiLevelType w:val="multilevel"/>
    <w:tmpl w:val="F82C655A"/>
    <w:numStyleLink w:val="Pedpisy97"/>
  </w:abstractNum>
  <w:abstractNum w:abstractNumId="17" w15:restartNumberingAfterBreak="0">
    <w:nsid w:val="27523E1A"/>
    <w:multiLevelType w:val="multilevel"/>
    <w:tmpl w:val="F82C655A"/>
    <w:numStyleLink w:val="Pedpisy97"/>
  </w:abstractNum>
  <w:abstractNum w:abstractNumId="18" w15:restartNumberingAfterBreak="0">
    <w:nsid w:val="277606F3"/>
    <w:multiLevelType w:val="hybridMultilevel"/>
    <w:tmpl w:val="DDDA825A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824603C">
      <w:start w:val="1"/>
      <w:numFmt w:val="lowerLetter"/>
      <w:lvlText w:val="j%2."/>
      <w:lvlJc w:val="left"/>
      <w:pPr>
        <w:ind w:left="1637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C225C96"/>
    <w:multiLevelType w:val="hybridMultilevel"/>
    <w:tmpl w:val="B36EFE92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991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2CFD16F5"/>
    <w:multiLevelType w:val="hybridMultilevel"/>
    <w:tmpl w:val="DDEC2E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3">
      <w:start w:val="1"/>
      <w:numFmt w:val="upperRoman"/>
      <w:lvlText w:val="%2."/>
      <w:lvlJc w:val="right"/>
      <w:pPr>
        <w:ind w:left="163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41377"/>
    <w:multiLevelType w:val="hybridMultilevel"/>
    <w:tmpl w:val="DC426E4E"/>
    <w:lvl w:ilvl="0" w:tplc="A5A41E4A">
      <w:start w:val="1"/>
      <w:numFmt w:val="lowerLetter"/>
      <w:lvlText w:val="c%1."/>
      <w:lvlJc w:val="left"/>
      <w:pPr>
        <w:ind w:left="1637" w:hanging="360"/>
      </w:pPr>
      <w:rPr>
        <w:rFonts w:hint="default"/>
        <w:color w:val="auto"/>
      </w:rPr>
    </w:lvl>
    <w:lvl w:ilvl="1" w:tplc="539C1C96">
      <w:start w:val="1"/>
      <w:numFmt w:val="lowerLetter"/>
      <w:lvlText w:val="b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9119C"/>
    <w:multiLevelType w:val="hybridMultilevel"/>
    <w:tmpl w:val="85AA6472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3338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4109"/>
    <w:multiLevelType w:val="hybridMultilevel"/>
    <w:tmpl w:val="E15C16A6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7470F6">
      <w:start w:val="1"/>
      <w:numFmt w:val="lowerLetter"/>
      <w:lvlText w:val="a%2."/>
      <w:lvlJc w:val="left"/>
      <w:pPr>
        <w:ind w:left="1637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92ED6"/>
    <w:multiLevelType w:val="multilevel"/>
    <w:tmpl w:val="F82C655A"/>
    <w:numStyleLink w:val="Pedpisy97"/>
  </w:abstractNum>
  <w:abstractNum w:abstractNumId="26" w15:restartNumberingAfterBreak="0">
    <w:nsid w:val="3B02797F"/>
    <w:multiLevelType w:val="multilevel"/>
    <w:tmpl w:val="F82C655A"/>
    <w:numStyleLink w:val="Pedpisy97"/>
  </w:abstractNum>
  <w:abstractNum w:abstractNumId="27" w15:restartNumberingAfterBreak="0">
    <w:nsid w:val="40361E0D"/>
    <w:multiLevelType w:val="multilevel"/>
    <w:tmpl w:val="F82C655A"/>
    <w:numStyleLink w:val="Pedpisy97"/>
  </w:abstractNum>
  <w:abstractNum w:abstractNumId="28" w15:restartNumberingAfterBreak="0">
    <w:nsid w:val="42C00850"/>
    <w:multiLevelType w:val="multilevel"/>
    <w:tmpl w:val="F82C655A"/>
    <w:numStyleLink w:val="Pedpisy97"/>
  </w:abstractNum>
  <w:abstractNum w:abstractNumId="29" w15:restartNumberingAfterBreak="0">
    <w:nsid w:val="4390259B"/>
    <w:multiLevelType w:val="hybridMultilevel"/>
    <w:tmpl w:val="17F227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0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35"/>
    <w:multiLevelType w:val="hybridMultilevel"/>
    <w:tmpl w:val="DFD6CBCC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lowerRoman"/>
      <w:lvlText w:val="%2."/>
      <w:lvlJc w:val="righ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DE39F9"/>
    <w:multiLevelType w:val="hybridMultilevel"/>
    <w:tmpl w:val="54FCDF20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6DC133C">
      <w:start w:val="1"/>
      <w:numFmt w:val="lowerLetter"/>
      <w:lvlText w:val="b%2."/>
      <w:lvlJc w:val="left"/>
      <w:pPr>
        <w:ind w:left="1637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26F36"/>
    <w:multiLevelType w:val="hybridMultilevel"/>
    <w:tmpl w:val="7742C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A5EB4"/>
    <w:multiLevelType w:val="multilevel"/>
    <w:tmpl w:val="F82C655A"/>
    <w:numStyleLink w:val="Pedpisy97"/>
  </w:abstractNum>
  <w:abstractNum w:abstractNumId="34" w15:restartNumberingAfterBreak="0">
    <w:nsid w:val="5CFC7798"/>
    <w:multiLevelType w:val="multilevel"/>
    <w:tmpl w:val="F82C655A"/>
    <w:numStyleLink w:val="Pedpisy97"/>
  </w:abstractNum>
  <w:abstractNum w:abstractNumId="35" w15:restartNumberingAfterBreak="0">
    <w:nsid w:val="60CE1D2B"/>
    <w:multiLevelType w:val="multilevel"/>
    <w:tmpl w:val="F82C655A"/>
    <w:numStyleLink w:val="Pedpisy97"/>
  </w:abstractNum>
  <w:abstractNum w:abstractNumId="36" w15:restartNumberingAfterBreak="0">
    <w:nsid w:val="61BA772F"/>
    <w:multiLevelType w:val="hybridMultilevel"/>
    <w:tmpl w:val="067657E6"/>
    <w:lvl w:ilvl="0" w:tplc="645C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2A2C20"/>
    <w:multiLevelType w:val="multilevel"/>
    <w:tmpl w:val="F82C655A"/>
    <w:numStyleLink w:val="Pedpisy97"/>
  </w:abstractNum>
  <w:abstractNum w:abstractNumId="38" w15:restartNumberingAfterBreak="0">
    <w:nsid w:val="63476D4A"/>
    <w:multiLevelType w:val="hybridMultilevel"/>
    <w:tmpl w:val="347CD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E515B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9955796"/>
    <w:multiLevelType w:val="multilevel"/>
    <w:tmpl w:val="D390E2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9997306"/>
    <w:multiLevelType w:val="hybridMultilevel"/>
    <w:tmpl w:val="F9165C4A"/>
    <w:lvl w:ilvl="0" w:tplc="A38A8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28AF858">
      <w:start w:val="1"/>
      <w:numFmt w:val="lowerLetter"/>
      <w:lvlText w:val="i%2."/>
      <w:lvlJc w:val="left"/>
      <w:pPr>
        <w:ind w:left="3338" w:hanging="360"/>
      </w:pPr>
      <w:rPr>
        <w:rFonts w:hint="default"/>
        <w:color w:val="auto"/>
      </w:rPr>
    </w:lvl>
    <w:lvl w:ilvl="2" w:tplc="3B045478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26271"/>
    <w:multiLevelType w:val="multilevel"/>
    <w:tmpl w:val="F82C655A"/>
    <w:numStyleLink w:val="Pedpisy97"/>
  </w:abstractNum>
  <w:abstractNum w:abstractNumId="43" w15:restartNumberingAfterBreak="0">
    <w:nsid w:val="6DB15F3F"/>
    <w:multiLevelType w:val="multilevel"/>
    <w:tmpl w:val="9D2073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E7D119B"/>
    <w:multiLevelType w:val="multilevel"/>
    <w:tmpl w:val="F82C655A"/>
    <w:numStyleLink w:val="Pedpisy97"/>
  </w:abstractNum>
  <w:abstractNum w:abstractNumId="45" w15:restartNumberingAfterBreak="0">
    <w:nsid w:val="72FB649B"/>
    <w:multiLevelType w:val="multilevel"/>
    <w:tmpl w:val="F82C655A"/>
    <w:numStyleLink w:val="Pedpisy97"/>
  </w:abstractNum>
  <w:abstractNum w:abstractNumId="46" w15:restartNumberingAfterBreak="0">
    <w:nsid w:val="7370606F"/>
    <w:multiLevelType w:val="multilevel"/>
    <w:tmpl w:val="A1E4484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52F4B03"/>
    <w:multiLevelType w:val="multilevel"/>
    <w:tmpl w:val="F82C655A"/>
    <w:numStyleLink w:val="Pedpisy97"/>
  </w:abstractNum>
  <w:num w:numId="1">
    <w:abstractNumId w:val="31"/>
  </w:num>
  <w:num w:numId="2">
    <w:abstractNumId w:val="19"/>
  </w:num>
  <w:num w:numId="3">
    <w:abstractNumId w:val="14"/>
  </w:num>
  <w:num w:numId="4">
    <w:abstractNumId w:val="15"/>
  </w:num>
  <w:num w:numId="5">
    <w:abstractNumId w:val="45"/>
  </w:num>
  <w:num w:numId="6">
    <w:abstractNumId w:val="33"/>
  </w:num>
  <w:num w:numId="7">
    <w:abstractNumId w:val="35"/>
  </w:num>
  <w:num w:numId="8">
    <w:abstractNumId w:val="4"/>
  </w:num>
  <w:num w:numId="9">
    <w:abstractNumId w:val="37"/>
  </w:num>
  <w:num w:numId="10">
    <w:abstractNumId w:val="1"/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trike w:val="0"/>
        </w:rPr>
      </w:lvl>
    </w:lvlOverride>
  </w:num>
  <w:num w:numId="12">
    <w:abstractNumId w:val="5"/>
  </w:num>
  <w:num w:numId="1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trike w:val="0"/>
        </w:rPr>
      </w:lvl>
    </w:lvlOverride>
  </w:num>
  <w:num w:numId="14">
    <w:abstractNumId w:val="10"/>
  </w:num>
  <w:num w:numId="15">
    <w:abstractNumId w:val="17"/>
  </w:num>
  <w:num w:numId="16">
    <w:abstractNumId w:val="7"/>
  </w:num>
  <w:num w:numId="17">
    <w:abstractNumId w:val="47"/>
  </w:num>
  <w:num w:numId="18">
    <w:abstractNumId w:val="42"/>
  </w:num>
  <w:num w:numId="19">
    <w:abstractNumId w:val="16"/>
  </w:num>
  <w:num w:numId="20">
    <w:abstractNumId w:val="25"/>
  </w:num>
  <w:num w:numId="21">
    <w:abstractNumId w:val="8"/>
  </w:num>
  <w:num w:numId="22">
    <w:abstractNumId w:val="43"/>
  </w:num>
  <w:num w:numId="23">
    <w:abstractNumId w:val="44"/>
  </w:num>
  <w:num w:numId="24">
    <w:abstractNumId w:val="2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</w:num>
  <w:num w:numId="25">
    <w:abstractNumId w:val="34"/>
  </w:num>
  <w:num w:numId="26">
    <w:abstractNumId w:val="11"/>
  </w:num>
  <w:num w:numId="27">
    <w:abstractNumId w:val="3"/>
  </w:num>
  <w:num w:numId="28">
    <w:abstractNumId w:val="9"/>
  </w:num>
  <w:num w:numId="29">
    <w:abstractNumId w:val="0"/>
  </w:num>
  <w:num w:numId="30">
    <w:abstractNumId w:val="18"/>
  </w:num>
  <w:num w:numId="31">
    <w:abstractNumId w:val="2"/>
  </w:num>
  <w:num w:numId="32">
    <w:abstractNumId w:val="41"/>
  </w:num>
  <w:num w:numId="33">
    <w:abstractNumId w:val="24"/>
  </w:num>
  <w:num w:numId="34">
    <w:abstractNumId w:val="22"/>
  </w:num>
  <w:num w:numId="35">
    <w:abstractNumId w:val="13"/>
  </w:num>
  <w:num w:numId="36">
    <w:abstractNumId w:val="46"/>
  </w:num>
  <w:num w:numId="37">
    <w:abstractNumId w:val="40"/>
  </w:num>
  <w:num w:numId="38">
    <w:abstractNumId w:val="23"/>
  </w:num>
  <w:num w:numId="39">
    <w:abstractNumId w:val="32"/>
  </w:num>
  <w:num w:numId="40">
    <w:abstractNumId w:val="36"/>
  </w:num>
  <w:num w:numId="41">
    <w:abstractNumId w:val="20"/>
  </w:num>
  <w:num w:numId="42">
    <w:abstractNumId w:val="30"/>
  </w:num>
  <w:num w:numId="43">
    <w:abstractNumId w:val="21"/>
  </w:num>
  <w:num w:numId="44">
    <w:abstractNumId w:val="29"/>
  </w:num>
  <w:num w:numId="45">
    <w:abstractNumId w:val="12"/>
  </w:num>
  <w:num w:numId="46">
    <w:abstractNumId w:val="38"/>
  </w:num>
  <w:num w:numId="47">
    <w:abstractNumId w:val="39"/>
  </w:num>
  <w:num w:numId="48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B5"/>
    <w:rsid w:val="00000706"/>
    <w:rsid w:val="00001E68"/>
    <w:rsid w:val="00013351"/>
    <w:rsid w:val="0002017C"/>
    <w:rsid w:val="00021379"/>
    <w:rsid w:val="000215E4"/>
    <w:rsid w:val="0002391A"/>
    <w:rsid w:val="00024A63"/>
    <w:rsid w:val="000277EA"/>
    <w:rsid w:val="0003355E"/>
    <w:rsid w:val="00052C17"/>
    <w:rsid w:val="000577B9"/>
    <w:rsid w:val="00067371"/>
    <w:rsid w:val="000726C1"/>
    <w:rsid w:val="00076585"/>
    <w:rsid w:val="000947F0"/>
    <w:rsid w:val="00096A66"/>
    <w:rsid w:val="000A0139"/>
    <w:rsid w:val="000A3A02"/>
    <w:rsid w:val="000B2EBA"/>
    <w:rsid w:val="000B6EB1"/>
    <w:rsid w:val="000C5D5D"/>
    <w:rsid w:val="000C7B7C"/>
    <w:rsid w:val="000D0B4D"/>
    <w:rsid w:val="000D3365"/>
    <w:rsid w:val="000D6774"/>
    <w:rsid w:val="000D6AFF"/>
    <w:rsid w:val="000E1E10"/>
    <w:rsid w:val="000F2862"/>
    <w:rsid w:val="000F5F85"/>
    <w:rsid w:val="001010C9"/>
    <w:rsid w:val="00101E78"/>
    <w:rsid w:val="001041F7"/>
    <w:rsid w:val="0010455C"/>
    <w:rsid w:val="00114A5F"/>
    <w:rsid w:val="00120668"/>
    <w:rsid w:val="00125EDA"/>
    <w:rsid w:val="00143045"/>
    <w:rsid w:val="00144D4F"/>
    <w:rsid w:val="0015272A"/>
    <w:rsid w:val="00157503"/>
    <w:rsid w:val="00163C01"/>
    <w:rsid w:val="001720DC"/>
    <w:rsid w:val="00175C98"/>
    <w:rsid w:val="00181894"/>
    <w:rsid w:val="001A2967"/>
    <w:rsid w:val="001A3747"/>
    <w:rsid w:val="001B119A"/>
    <w:rsid w:val="001B5F87"/>
    <w:rsid w:val="001B639D"/>
    <w:rsid w:val="001C1BF2"/>
    <w:rsid w:val="001C7D74"/>
    <w:rsid w:val="001D29ED"/>
    <w:rsid w:val="001D45C5"/>
    <w:rsid w:val="001E33CD"/>
    <w:rsid w:val="001E58B6"/>
    <w:rsid w:val="001E6BB8"/>
    <w:rsid w:val="001E6E19"/>
    <w:rsid w:val="001F13FE"/>
    <w:rsid w:val="001F18CF"/>
    <w:rsid w:val="001F2C79"/>
    <w:rsid w:val="001F314C"/>
    <w:rsid w:val="002045E2"/>
    <w:rsid w:val="002108ED"/>
    <w:rsid w:val="002225D7"/>
    <w:rsid w:val="002253A1"/>
    <w:rsid w:val="00233336"/>
    <w:rsid w:val="00233444"/>
    <w:rsid w:val="002335CF"/>
    <w:rsid w:val="002364B4"/>
    <w:rsid w:val="00242DCD"/>
    <w:rsid w:val="00255E56"/>
    <w:rsid w:val="002600BA"/>
    <w:rsid w:val="00263D3F"/>
    <w:rsid w:val="002663F1"/>
    <w:rsid w:val="0026748D"/>
    <w:rsid w:val="00267513"/>
    <w:rsid w:val="002712A3"/>
    <w:rsid w:val="00276D47"/>
    <w:rsid w:val="00286FD7"/>
    <w:rsid w:val="00287A46"/>
    <w:rsid w:val="00296988"/>
    <w:rsid w:val="002A08B6"/>
    <w:rsid w:val="002A63EF"/>
    <w:rsid w:val="002B0379"/>
    <w:rsid w:val="002B24A3"/>
    <w:rsid w:val="002B7CF1"/>
    <w:rsid w:val="002C3415"/>
    <w:rsid w:val="002C7898"/>
    <w:rsid w:val="002D47D1"/>
    <w:rsid w:val="002E5BC6"/>
    <w:rsid w:val="002F69B2"/>
    <w:rsid w:val="00320E7E"/>
    <w:rsid w:val="0032472D"/>
    <w:rsid w:val="0032690E"/>
    <w:rsid w:val="00326DC4"/>
    <w:rsid w:val="00333718"/>
    <w:rsid w:val="00336B51"/>
    <w:rsid w:val="00340C8D"/>
    <w:rsid w:val="003421CA"/>
    <w:rsid w:val="003435D0"/>
    <w:rsid w:val="00360256"/>
    <w:rsid w:val="0036365E"/>
    <w:rsid w:val="00372FE2"/>
    <w:rsid w:val="00373C55"/>
    <w:rsid w:val="003805C4"/>
    <w:rsid w:val="00380C0E"/>
    <w:rsid w:val="003812BF"/>
    <w:rsid w:val="00391AE2"/>
    <w:rsid w:val="00397036"/>
    <w:rsid w:val="003A1390"/>
    <w:rsid w:val="003A3745"/>
    <w:rsid w:val="003A58D2"/>
    <w:rsid w:val="003A7A63"/>
    <w:rsid w:val="003B1EC2"/>
    <w:rsid w:val="003C6BEF"/>
    <w:rsid w:val="003D69CC"/>
    <w:rsid w:val="003E623A"/>
    <w:rsid w:val="003F49A6"/>
    <w:rsid w:val="00404BF1"/>
    <w:rsid w:val="00416402"/>
    <w:rsid w:val="00424AFE"/>
    <w:rsid w:val="00452CA4"/>
    <w:rsid w:val="00454CA1"/>
    <w:rsid w:val="00457F35"/>
    <w:rsid w:val="00460C80"/>
    <w:rsid w:val="004661D6"/>
    <w:rsid w:val="004755B5"/>
    <w:rsid w:val="00475C79"/>
    <w:rsid w:val="00476282"/>
    <w:rsid w:val="004914B9"/>
    <w:rsid w:val="004928DF"/>
    <w:rsid w:val="004A2363"/>
    <w:rsid w:val="004C3A2F"/>
    <w:rsid w:val="004E61C6"/>
    <w:rsid w:val="004E657A"/>
    <w:rsid w:val="004F0239"/>
    <w:rsid w:val="00502D5B"/>
    <w:rsid w:val="00505981"/>
    <w:rsid w:val="005059CE"/>
    <w:rsid w:val="0052400F"/>
    <w:rsid w:val="0052445D"/>
    <w:rsid w:val="00540BA9"/>
    <w:rsid w:val="00545669"/>
    <w:rsid w:val="0055095B"/>
    <w:rsid w:val="0055197C"/>
    <w:rsid w:val="00551A7F"/>
    <w:rsid w:val="00557F1F"/>
    <w:rsid w:val="0057615C"/>
    <w:rsid w:val="00581AB9"/>
    <w:rsid w:val="00582CC6"/>
    <w:rsid w:val="0058332A"/>
    <w:rsid w:val="00585CCB"/>
    <w:rsid w:val="00593828"/>
    <w:rsid w:val="00594010"/>
    <w:rsid w:val="005A2F4A"/>
    <w:rsid w:val="005A3359"/>
    <w:rsid w:val="005A6C56"/>
    <w:rsid w:val="005E102E"/>
    <w:rsid w:val="005E1796"/>
    <w:rsid w:val="005E7C99"/>
    <w:rsid w:val="00600D14"/>
    <w:rsid w:val="00605998"/>
    <w:rsid w:val="00610299"/>
    <w:rsid w:val="00615EC7"/>
    <w:rsid w:val="00620A25"/>
    <w:rsid w:val="0063253F"/>
    <w:rsid w:val="0064104A"/>
    <w:rsid w:val="0064376E"/>
    <w:rsid w:val="00651DED"/>
    <w:rsid w:val="00652695"/>
    <w:rsid w:val="00653391"/>
    <w:rsid w:val="0065510E"/>
    <w:rsid w:val="006616E7"/>
    <w:rsid w:val="00683F07"/>
    <w:rsid w:val="00684387"/>
    <w:rsid w:val="00692D5F"/>
    <w:rsid w:val="00693BE8"/>
    <w:rsid w:val="00696E58"/>
    <w:rsid w:val="006A0E98"/>
    <w:rsid w:val="006A521E"/>
    <w:rsid w:val="006A63C1"/>
    <w:rsid w:val="006B71D6"/>
    <w:rsid w:val="006C1EB4"/>
    <w:rsid w:val="006C6257"/>
    <w:rsid w:val="006D5C64"/>
    <w:rsid w:val="006E1EB5"/>
    <w:rsid w:val="006E2841"/>
    <w:rsid w:val="006E29E1"/>
    <w:rsid w:val="006F186B"/>
    <w:rsid w:val="006F231A"/>
    <w:rsid w:val="006F25DC"/>
    <w:rsid w:val="006F3007"/>
    <w:rsid w:val="006F508C"/>
    <w:rsid w:val="0070269A"/>
    <w:rsid w:val="0070512E"/>
    <w:rsid w:val="0070619A"/>
    <w:rsid w:val="00707AEC"/>
    <w:rsid w:val="00712246"/>
    <w:rsid w:val="00715092"/>
    <w:rsid w:val="00724CDA"/>
    <w:rsid w:val="007267A4"/>
    <w:rsid w:val="00740F70"/>
    <w:rsid w:val="00741B97"/>
    <w:rsid w:val="00744553"/>
    <w:rsid w:val="00751895"/>
    <w:rsid w:val="00751AF7"/>
    <w:rsid w:val="007646C5"/>
    <w:rsid w:val="00767937"/>
    <w:rsid w:val="00781A5E"/>
    <w:rsid w:val="0078551B"/>
    <w:rsid w:val="007B59E9"/>
    <w:rsid w:val="007B754B"/>
    <w:rsid w:val="007C48E0"/>
    <w:rsid w:val="007C6683"/>
    <w:rsid w:val="007D18F9"/>
    <w:rsid w:val="007D4F5C"/>
    <w:rsid w:val="007E79F3"/>
    <w:rsid w:val="007F4F2B"/>
    <w:rsid w:val="008050E7"/>
    <w:rsid w:val="00823E1C"/>
    <w:rsid w:val="00830A40"/>
    <w:rsid w:val="008407CA"/>
    <w:rsid w:val="0084548D"/>
    <w:rsid w:val="00846A22"/>
    <w:rsid w:val="00850354"/>
    <w:rsid w:val="00857021"/>
    <w:rsid w:val="0086414E"/>
    <w:rsid w:val="008644DB"/>
    <w:rsid w:val="0087667A"/>
    <w:rsid w:val="008874E0"/>
    <w:rsid w:val="00893DCE"/>
    <w:rsid w:val="00897385"/>
    <w:rsid w:val="008A23C6"/>
    <w:rsid w:val="008A7586"/>
    <w:rsid w:val="008B4106"/>
    <w:rsid w:val="008B5493"/>
    <w:rsid w:val="008C1CCE"/>
    <w:rsid w:val="008C5636"/>
    <w:rsid w:val="008C687F"/>
    <w:rsid w:val="008D30C1"/>
    <w:rsid w:val="008D5EEF"/>
    <w:rsid w:val="008D6D8B"/>
    <w:rsid w:val="008D6F9C"/>
    <w:rsid w:val="008E04BF"/>
    <w:rsid w:val="008E097A"/>
    <w:rsid w:val="008F26E8"/>
    <w:rsid w:val="008F641C"/>
    <w:rsid w:val="00913F00"/>
    <w:rsid w:val="00921A5C"/>
    <w:rsid w:val="009252CA"/>
    <w:rsid w:val="0093102F"/>
    <w:rsid w:val="00944F95"/>
    <w:rsid w:val="00947EAD"/>
    <w:rsid w:val="00961F07"/>
    <w:rsid w:val="00962077"/>
    <w:rsid w:val="009620D7"/>
    <w:rsid w:val="009631BE"/>
    <w:rsid w:val="00963456"/>
    <w:rsid w:val="00965FF1"/>
    <w:rsid w:val="009719AE"/>
    <w:rsid w:val="009720EB"/>
    <w:rsid w:val="00973726"/>
    <w:rsid w:val="009747CF"/>
    <w:rsid w:val="00975BCC"/>
    <w:rsid w:val="00981DEB"/>
    <w:rsid w:val="00984476"/>
    <w:rsid w:val="00984C0F"/>
    <w:rsid w:val="009925F2"/>
    <w:rsid w:val="0099485D"/>
    <w:rsid w:val="00994C5F"/>
    <w:rsid w:val="00996927"/>
    <w:rsid w:val="009A13AE"/>
    <w:rsid w:val="009B3BED"/>
    <w:rsid w:val="009B3F55"/>
    <w:rsid w:val="009B5335"/>
    <w:rsid w:val="009C6F8D"/>
    <w:rsid w:val="009D6705"/>
    <w:rsid w:val="009E6243"/>
    <w:rsid w:val="00A01B3F"/>
    <w:rsid w:val="00A14174"/>
    <w:rsid w:val="00A150CF"/>
    <w:rsid w:val="00A159FF"/>
    <w:rsid w:val="00A16964"/>
    <w:rsid w:val="00A16FEB"/>
    <w:rsid w:val="00A25CFE"/>
    <w:rsid w:val="00A35623"/>
    <w:rsid w:val="00A359DE"/>
    <w:rsid w:val="00A520CE"/>
    <w:rsid w:val="00A60431"/>
    <w:rsid w:val="00A62DF9"/>
    <w:rsid w:val="00A674A1"/>
    <w:rsid w:val="00A770A8"/>
    <w:rsid w:val="00A81143"/>
    <w:rsid w:val="00A908A1"/>
    <w:rsid w:val="00A94B4D"/>
    <w:rsid w:val="00A97F31"/>
    <w:rsid w:val="00AA0F2C"/>
    <w:rsid w:val="00AB4F60"/>
    <w:rsid w:val="00AC0DD0"/>
    <w:rsid w:val="00AC39A8"/>
    <w:rsid w:val="00AD170A"/>
    <w:rsid w:val="00AE2B16"/>
    <w:rsid w:val="00AF6B89"/>
    <w:rsid w:val="00AF7484"/>
    <w:rsid w:val="00B12427"/>
    <w:rsid w:val="00B14A07"/>
    <w:rsid w:val="00B23548"/>
    <w:rsid w:val="00B3522C"/>
    <w:rsid w:val="00B448D0"/>
    <w:rsid w:val="00B46764"/>
    <w:rsid w:val="00B4708D"/>
    <w:rsid w:val="00B47428"/>
    <w:rsid w:val="00B519F4"/>
    <w:rsid w:val="00B56008"/>
    <w:rsid w:val="00B60C6E"/>
    <w:rsid w:val="00B62BA5"/>
    <w:rsid w:val="00B81F50"/>
    <w:rsid w:val="00B87BE2"/>
    <w:rsid w:val="00B92671"/>
    <w:rsid w:val="00B96169"/>
    <w:rsid w:val="00BA254F"/>
    <w:rsid w:val="00BA2D92"/>
    <w:rsid w:val="00BA3C71"/>
    <w:rsid w:val="00BA4F9C"/>
    <w:rsid w:val="00BA5A30"/>
    <w:rsid w:val="00BC085C"/>
    <w:rsid w:val="00BC2704"/>
    <w:rsid w:val="00BC444F"/>
    <w:rsid w:val="00BD1299"/>
    <w:rsid w:val="00BD22CE"/>
    <w:rsid w:val="00BE0CCC"/>
    <w:rsid w:val="00BE35F6"/>
    <w:rsid w:val="00BE5051"/>
    <w:rsid w:val="00BE555E"/>
    <w:rsid w:val="00BE5846"/>
    <w:rsid w:val="00BF6820"/>
    <w:rsid w:val="00C10C5F"/>
    <w:rsid w:val="00C13504"/>
    <w:rsid w:val="00C171DA"/>
    <w:rsid w:val="00C264E6"/>
    <w:rsid w:val="00C33AB6"/>
    <w:rsid w:val="00C33C02"/>
    <w:rsid w:val="00C42A75"/>
    <w:rsid w:val="00C52DAD"/>
    <w:rsid w:val="00C6023F"/>
    <w:rsid w:val="00C737FF"/>
    <w:rsid w:val="00C92BFA"/>
    <w:rsid w:val="00C9336D"/>
    <w:rsid w:val="00C93401"/>
    <w:rsid w:val="00CB7B33"/>
    <w:rsid w:val="00CC2020"/>
    <w:rsid w:val="00CC48E3"/>
    <w:rsid w:val="00CD0CC8"/>
    <w:rsid w:val="00CD42F6"/>
    <w:rsid w:val="00CD4418"/>
    <w:rsid w:val="00CD6540"/>
    <w:rsid w:val="00CD7324"/>
    <w:rsid w:val="00CE20EE"/>
    <w:rsid w:val="00CE29CE"/>
    <w:rsid w:val="00CF3C0F"/>
    <w:rsid w:val="00D05D39"/>
    <w:rsid w:val="00D1184F"/>
    <w:rsid w:val="00D163EA"/>
    <w:rsid w:val="00D1656C"/>
    <w:rsid w:val="00D2363A"/>
    <w:rsid w:val="00D32646"/>
    <w:rsid w:val="00D46027"/>
    <w:rsid w:val="00D462EA"/>
    <w:rsid w:val="00D56756"/>
    <w:rsid w:val="00D64176"/>
    <w:rsid w:val="00D80E86"/>
    <w:rsid w:val="00D825CE"/>
    <w:rsid w:val="00D83452"/>
    <w:rsid w:val="00D94049"/>
    <w:rsid w:val="00DA101F"/>
    <w:rsid w:val="00DB55B3"/>
    <w:rsid w:val="00DB7D63"/>
    <w:rsid w:val="00DE018C"/>
    <w:rsid w:val="00DE7621"/>
    <w:rsid w:val="00E00E97"/>
    <w:rsid w:val="00E0278E"/>
    <w:rsid w:val="00E05153"/>
    <w:rsid w:val="00E07639"/>
    <w:rsid w:val="00E10494"/>
    <w:rsid w:val="00E1325D"/>
    <w:rsid w:val="00E15BFA"/>
    <w:rsid w:val="00E20B07"/>
    <w:rsid w:val="00E306C3"/>
    <w:rsid w:val="00E33D0E"/>
    <w:rsid w:val="00E61EDB"/>
    <w:rsid w:val="00E6355F"/>
    <w:rsid w:val="00E67077"/>
    <w:rsid w:val="00E673B3"/>
    <w:rsid w:val="00E71F40"/>
    <w:rsid w:val="00E7496E"/>
    <w:rsid w:val="00E7563A"/>
    <w:rsid w:val="00E821E8"/>
    <w:rsid w:val="00E856A5"/>
    <w:rsid w:val="00E911C2"/>
    <w:rsid w:val="00E97848"/>
    <w:rsid w:val="00EA1705"/>
    <w:rsid w:val="00EB4E75"/>
    <w:rsid w:val="00EB53D3"/>
    <w:rsid w:val="00EB55DB"/>
    <w:rsid w:val="00EC18A5"/>
    <w:rsid w:val="00ED6569"/>
    <w:rsid w:val="00EE5B95"/>
    <w:rsid w:val="00EF0830"/>
    <w:rsid w:val="00EF484B"/>
    <w:rsid w:val="00F00C7D"/>
    <w:rsid w:val="00F13DF5"/>
    <w:rsid w:val="00F147B2"/>
    <w:rsid w:val="00F265C3"/>
    <w:rsid w:val="00F321A8"/>
    <w:rsid w:val="00F33CD7"/>
    <w:rsid w:val="00F347E5"/>
    <w:rsid w:val="00F41E04"/>
    <w:rsid w:val="00F4477E"/>
    <w:rsid w:val="00F45F5A"/>
    <w:rsid w:val="00F474E1"/>
    <w:rsid w:val="00F502BF"/>
    <w:rsid w:val="00F52C03"/>
    <w:rsid w:val="00F55027"/>
    <w:rsid w:val="00F617D8"/>
    <w:rsid w:val="00F643C1"/>
    <w:rsid w:val="00F93C5D"/>
    <w:rsid w:val="00FA2925"/>
    <w:rsid w:val="00FB2039"/>
    <w:rsid w:val="00FC037A"/>
    <w:rsid w:val="00FC3B24"/>
    <w:rsid w:val="00FC4C35"/>
    <w:rsid w:val="00FD4316"/>
    <w:rsid w:val="00FE2DF6"/>
    <w:rsid w:val="00FE4161"/>
    <w:rsid w:val="00FF1E9C"/>
    <w:rsid w:val="012B67D4"/>
    <w:rsid w:val="03C2ACC8"/>
    <w:rsid w:val="070DCC16"/>
    <w:rsid w:val="089D4CD6"/>
    <w:rsid w:val="0D70BDF9"/>
    <w:rsid w:val="0E66B202"/>
    <w:rsid w:val="1170FCB6"/>
    <w:rsid w:val="1837F0A4"/>
    <w:rsid w:val="18D18BDF"/>
    <w:rsid w:val="1BCDF371"/>
    <w:rsid w:val="1F5E291B"/>
    <w:rsid w:val="1F90DD04"/>
    <w:rsid w:val="21B893FE"/>
    <w:rsid w:val="225FAFE5"/>
    <w:rsid w:val="22D2A8F7"/>
    <w:rsid w:val="22FBDE1F"/>
    <w:rsid w:val="230822F5"/>
    <w:rsid w:val="237D2C43"/>
    <w:rsid w:val="23C050C3"/>
    <w:rsid w:val="25A1D851"/>
    <w:rsid w:val="25DEAC4A"/>
    <w:rsid w:val="26D150FF"/>
    <w:rsid w:val="2AE6A187"/>
    <w:rsid w:val="2B96B667"/>
    <w:rsid w:val="2C5E09CC"/>
    <w:rsid w:val="2CE807FD"/>
    <w:rsid w:val="304EE656"/>
    <w:rsid w:val="30808B0A"/>
    <w:rsid w:val="31F8E16D"/>
    <w:rsid w:val="323AE304"/>
    <w:rsid w:val="3469A6D6"/>
    <w:rsid w:val="35CB893F"/>
    <w:rsid w:val="404D3916"/>
    <w:rsid w:val="4187F7BF"/>
    <w:rsid w:val="41E7B349"/>
    <w:rsid w:val="4406B2C8"/>
    <w:rsid w:val="451F540B"/>
    <w:rsid w:val="45909516"/>
    <w:rsid w:val="46BB246C"/>
    <w:rsid w:val="4DBDD4EB"/>
    <w:rsid w:val="4F59A54C"/>
    <w:rsid w:val="506329E5"/>
    <w:rsid w:val="5108B121"/>
    <w:rsid w:val="51224034"/>
    <w:rsid w:val="515ADE79"/>
    <w:rsid w:val="51FEFA46"/>
    <w:rsid w:val="52BE1095"/>
    <w:rsid w:val="537C13C9"/>
    <w:rsid w:val="539ACAA7"/>
    <w:rsid w:val="5CD38D77"/>
    <w:rsid w:val="605485B4"/>
    <w:rsid w:val="659FF3CA"/>
    <w:rsid w:val="662A4EEA"/>
    <w:rsid w:val="6A65F5BD"/>
    <w:rsid w:val="6F53692B"/>
    <w:rsid w:val="7203DFBB"/>
    <w:rsid w:val="78BC330F"/>
    <w:rsid w:val="7D37F1AF"/>
    <w:rsid w:val="7D7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968D1AF"/>
  <w15:chartTrackingRefBased/>
  <w15:docId w15:val="{A8989910-64B0-42CA-9045-90250CD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Cs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color w:val="0000FF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widowControl w:val="0"/>
      <w:jc w:val="both"/>
      <w:outlineLvl w:val="5"/>
    </w:pPr>
    <w:rPr>
      <w:b/>
      <w:snapToGrid w:val="0"/>
      <w:sz w:val="22"/>
    </w:rPr>
  </w:style>
  <w:style w:type="paragraph" w:styleId="Nadpis7">
    <w:name w:val="heading 7"/>
    <w:basedOn w:val="Normln"/>
    <w:next w:val="Normln"/>
    <w:qFormat/>
    <w:pPr>
      <w:keepNext/>
      <w:spacing w:before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 w:line="360" w:lineRule="auto"/>
      <w:outlineLvl w:val="7"/>
    </w:pPr>
    <w:rPr>
      <w:b/>
      <w:color w:val="000000"/>
      <w:sz w:val="24"/>
    </w:rPr>
  </w:style>
  <w:style w:type="paragraph" w:styleId="Nadpis9">
    <w:name w:val="heading 9"/>
    <w:basedOn w:val="Normln"/>
    <w:next w:val="Normln"/>
    <w:qFormat/>
    <w:pPr>
      <w:keepNext/>
      <w:spacing w:after="120" w:line="360" w:lineRule="auto"/>
      <w:jc w:val="both"/>
      <w:outlineLvl w:val="8"/>
    </w:pPr>
    <w:rPr>
      <w:b/>
      <w:color w:val="000000"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center"/>
    </w:pPr>
    <w:rPr>
      <w:bCs/>
      <w:snapToGrid w:val="0"/>
      <w:sz w:val="24"/>
    </w:rPr>
  </w:style>
  <w:style w:type="paragraph" w:styleId="Zkladntextodsazen">
    <w:name w:val="Body Text Indent"/>
    <w:basedOn w:val="Normln"/>
    <w:pPr>
      <w:widowControl w:val="0"/>
      <w:ind w:left="30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widowControl w:val="0"/>
      <w:ind w:left="360"/>
      <w:jc w:val="both"/>
    </w:pPr>
    <w:rPr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28"/>
    </w:rPr>
  </w:style>
  <w:style w:type="paragraph" w:styleId="Zkladntext3">
    <w:name w:val="Body Text 3"/>
    <w:basedOn w:val="Normln"/>
    <w:pPr>
      <w:widowControl w:val="0"/>
      <w:jc w:val="center"/>
    </w:pPr>
    <w:rPr>
      <w:b/>
      <w:snapToGrid w:val="0"/>
      <w:sz w:val="36"/>
    </w:rPr>
  </w:style>
  <w:style w:type="paragraph" w:styleId="Zkladntextodsazen3">
    <w:name w:val="Body Text Indent 3"/>
    <w:basedOn w:val="Normln"/>
    <w:pPr>
      <w:numPr>
        <w:ilvl w:val="12"/>
      </w:numPr>
      <w:ind w:firstLine="11"/>
      <w:jc w:val="both"/>
    </w:pPr>
    <w:rPr>
      <w:sz w:val="22"/>
    </w:rPr>
  </w:style>
  <w:style w:type="paragraph" w:styleId="Textkomente">
    <w:name w:val="annotation text"/>
    <w:basedOn w:val="Normln"/>
    <w:semiHidden/>
    <w:pPr>
      <w:tabs>
        <w:tab w:val="left" w:pos="709"/>
      </w:tabs>
      <w:jc w:val="both"/>
    </w:pPr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21" w:customStyle="1">
    <w:name w:val="Základní text 21"/>
    <w:basedOn w:val="Normln"/>
    <w:pPr>
      <w:jc w:val="both"/>
    </w:pPr>
    <w:rPr>
      <w:i/>
      <w:sz w:val="24"/>
    </w:rPr>
  </w:style>
  <w:style w:type="paragraph" w:styleId="Zkladntext31" w:customStyle="1">
    <w:name w:val="Základní text 31"/>
    <w:basedOn w:val="Normln"/>
    <w:pPr>
      <w:widowControl w:val="0"/>
      <w:jc w:val="both"/>
    </w:pPr>
    <w:rPr>
      <w:b/>
      <w:sz w:val="28"/>
    </w:rPr>
  </w:style>
  <w:style w:type="paragraph" w:styleId="Textvbloku">
    <w:name w:val="Block Text"/>
    <w:basedOn w:val="Normln"/>
    <w:pPr>
      <w:ind w:left="900" w:right="-471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tabs>
        <w:tab w:val="clear" w:pos="709"/>
      </w:tabs>
      <w:jc w:val="left"/>
    </w:pPr>
    <w:rPr>
      <w:rFonts w:ascii="Times New Roman" w:hAnsi="Times New Roman"/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984476"/>
    <w:pPr>
      <w:spacing w:after="200" w:line="276" w:lineRule="auto"/>
      <w:ind w:left="720"/>
      <w:contextualSpacing/>
    </w:pPr>
    <w:rPr>
      <w:rFonts w:ascii="Calibri" w:hAnsi="Calibri" w:eastAsia="Calibri"/>
      <w:b/>
      <w:sz w:val="22"/>
      <w:szCs w:val="22"/>
      <w:lang w:eastAsia="en-US"/>
    </w:rPr>
  </w:style>
  <w:style w:type="character" w:styleId="ZhlavChar" w:customStyle="1">
    <w:name w:val="Záhlaví Char"/>
    <w:link w:val="Zhlav"/>
    <w:rsid w:val="00984476"/>
  </w:style>
  <w:style w:type="character" w:styleId="Hypertextovodkaz">
    <w:name w:val="Hyperlink"/>
    <w:uiPriority w:val="99"/>
    <w:rsid w:val="00984476"/>
    <w:rPr>
      <w:color w:val="0000FF"/>
      <w:u w:val="single"/>
    </w:rPr>
  </w:style>
  <w:style w:type="character" w:styleId="TextpoznpodarouChar" w:customStyle="1">
    <w:name w:val="Text pozn. pod čarou Char"/>
    <w:link w:val="Textpoznpodarou"/>
    <w:uiPriority w:val="99"/>
    <w:semiHidden/>
    <w:rsid w:val="00984476"/>
  </w:style>
  <w:style w:type="numbering" w:styleId="Pedpisy97" w:customStyle="1">
    <w:name w:val="Předpisy 97"/>
    <w:uiPriority w:val="99"/>
    <w:rsid w:val="00984476"/>
    <w:pPr>
      <w:numPr>
        <w:numId w:val="2"/>
      </w:numPr>
    </w:pPr>
  </w:style>
  <w:style w:type="paragraph" w:styleId="Revize">
    <w:name w:val="Revision"/>
    <w:hidden/>
    <w:uiPriority w:val="99"/>
    <w:semiHidden/>
    <w:rsid w:val="00921A5C"/>
    <w:rPr>
      <w:lang w:eastAsia="cs-CZ"/>
    </w:rPr>
  </w:style>
  <w:style w:type="character" w:styleId="Sledovanodkaz">
    <w:name w:val="FollowedHyperlink"/>
    <w:rsid w:val="00E0278E"/>
    <w:rPr>
      <w:color w:val="954F72"/>
      <w:u w:val="single"/>
    </w:rPr>
  </w:style>
  <w:style w:type="character" w:styleId="Nevyeenzmnka1" w:customStyle="1">
    <w:name w:val="Nevyřešená zmínka1"/>
    <w:uiPriority w:val="99"/>
    <w:semiHidden/>
    <w:unhideWhenUsed/>
    <w:rsid w:val="00E20B0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E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otace.kr-karlovarsky.cz/gordic/ginis/app/RAP05/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kotliky.kr-karlovarsky.cz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dotace.kr-karlovarsky.cz/gordic/ginis/app/RAP05/" TargetMode="Externa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kr-karlovarsky.cz/dotace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uohs.cz/cs/verejna-podpora/nesplacene-inkasni-prikazy.html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eagri.cz/public/web/mze/dotace/verejna-podpora-a-de-minimis/nesplacene-inkasni-prikazy/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E74F-EC89-4ED6-908C-90832D6FE081}"/>
</file>

<file path=customXml/itemProps2.xml><?xml version="1.0" encoding="utf-8"?>
<ds:datastoreItem xmlns:ds="http://schemas.openxmlformats.org/officeDocument/2006/customXml" ds:itemID="{8E9B59C1-EECB-4EF2-9750-F331386F39DD}">
  <ds:schemaRefs>
    <ds:schemaRef ds:uri="61d128ea-d0e3-49fb-a491-efe3e7a441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af59be-3b01-433e-b2ca-a93a11c1c5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EA0706-36E7-4330-94E4-5C1FEBBA6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4C08C-061A-444D-94FF-E9ADA11939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Karlovarský kraj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ředitele krajského úřadu</dc:title>
  <dc:subject/>
  <dc:creator>noname</dc:creator>
  <cp:keywords/>
  <dc:description/>
  <cp:lastModifiedBy>Lehocký Pavel</cp:lastModifiedBy>
  <cp:revision>7</cp:revision>
  <cp:lastPrinted>2023-08-31T09:27:00Z</cp:lastPrinted>
  <dcterms:created xsi:type="dcterms:W3CDTF">2024-03-07T12:44:00Z</dcterms:created>
  <dcterms:modified xsi:type="dcterms:W3CDTF">2024-03-07T14:09:02Z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ContentTypeId">
    <vt:lpwstr>0x010100517E5C4DE9C3C54199AE91D64408E788</vt:lpwstr>
  </property>
  <property fmtid="{D5CDD505-2E9C-101B-9397-08002B2CF9AE}" pid="4" name="MediaServiceImageTags">
    <vt:lpwstr/>
  </property>
  <property fmtid="{D5CDD505-2E9C-101B-9397-08002B2CF9AE}" pid="5" name="Typ_predpisu">
    <vt:lpwstr>předpisy rady</vt:lpwstr>
  </property>
  <property fmtid="{D5CDD505-2E9C-101B-9397-08002B2CF9AE}" pid="7" name="Schvalovatele">
    <vt:lpwstr>29;#Lehocký Pavel</vt:lpwstr>
  </property>
  <property fmtid="{D5CDD505-2E9C-101B-9397-08002B2CF9AE}" pid="10" name="Bez_pripominkoveho_rizeni">
    <vt:bool>true</vt:bool>
  </property>
  <property fmtid="{D5CDD505-2E9C-101B-9397-08002B2CF9AE}" pid="11" name="Ucinny_od">
    <vt:filetime>2024-03-09T23:00:00Z</vt:filetime>
  </property>
  <property fmtid="{D5CDD505-2E9C-101B-9397-08002B2CF9AE}" pid="13" name="Poverene_osoby">
    <vt:lpwstr/>
  </property>
  <property fmtid="{D5CDD505-2E9C-101B-9397-08002B2CF9AE}" pid="14" name="Evidencni_cislo">
    <vt:lpwstr>PR 04/2024</vt:lpwstr>
  </property>
  <property fmtid="{D5CDD505-2E9C-101B-9397-08002B2CF9AE}" pid="15" name="Platny">
    <vt:bool>true</vt:bool>
  </property>
  <property fmtid="{D5CDD505-2E9C-101B-9397-08002B2CF9AE}" pid="16" name="Nahrazuje">
    <vt:lpwstr>430;#</vt:lpwstr>
  </property>
  <property fmtid="{D5CDD505-2E9C-101B-9397-08002B2CF9AE}" pid="17" name="Nazev_predpisu">
    <vt:lpwstr>Pravidla pro poskytování dotací a jejich administrace</vt:lpwstr>
  </property>
  <property fmtid="{D5CDD505-2E9C-101B-9397-08002B2CF9AE}" pid="18" name="Publikovat_verejnosti">
    <vt:bool>true</vt:bool>
  </property>
  <property fmtid="{D5CDD505-2E9C-101B-9397-08002B2CF9AE}" pid="21" name="Zadavatel">
    <vt:lpwstr>29;#Lehocký Pavel</vt:lpwstr>
  </property>
  <property fmtid="{D5CDD505-2E9C-101B-9397-08002B2CF9AE}" pid="22" name="Odbor">
    <vt:lpwstr>12</vt:lpwstr>
  </property>
  <property fmtid="{D5CDD505-2E9C-101B-9397-08002B2CF9AE}" pid="23" name="Publikovano">
    <vt:filetime>2024-03-07T14:00:00Z</vt:filetime>
  </property>
  <property fmtid="{D5CDD505-2E9C-101B-9397-08002B2CF9AE}" pid="24" name="Stav">
    <vt:lpwstr>schválený</vt:lpwstr>
  </property>
</Properties>
</file>